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0022F2" w:rsidP="00D17C4E"/>
    <w:p w:rsidR="000E0F93" w:rsidRDefault="000E0F93" w:rsidP="000E0F93">
      <w:pPr>
        <w:pStyle w:val="Heading3"/>
      </w:pPr>
      <w:r>
        <w:t>1AC—Plan</w:t>
      </w:r>
    </w:p>
    <w:p w:rsidR="000E0F93" w:rsidRDefault="000E0F93" w:rsidP="000E0F93">
      <w:pPr>
        <w:pStyle w:val="Heading4"/>
      </w:pPr>
      <w:r>
        <w:t xml:space="preserve">The United States federal government should adopt the mandates of </w:t>
      </w:r>
      <w:proofErr w:type="spellStart"/>
      <w:r>
        <w:t>NADBank</w:t>
      </w:r>
      <w:proofErr w:type="spellEnd"/>
      <w:r>
        <w:t xml:space="preserve"> Enhancement Act of 2011 towards Mexico</w:t>
      </w:r>
    </w:p>
    <w:p w:rsidR="000E0F93" w:rsidRPr="000E0F93" w:rsidRDefault="000E0F93" w:rsidP="000E0F93"/>
    <w:p w:rsidR="000E0F93" w:rsidRDefault="000E0F93" w:rsidP="000E0F93">
      <w:pPr>
        <w:pStyle w:val="Heading3"/>
      </w:pPr>
      <w:r>
        <w:t>1NC T—Increase</w:t>
      </w:r>
    </w:p>
    <w:p w:rsidR="000E0F93" w:rsidRPr="000E0F93" w:rsidRDefault="000E0F93" w:rsidP="000E0F93"/>
    <w:p w:rsidR="000E0F93" w:rsidRPr="007C0A0E" w:rsidRDefault="000E0F93" w:rsidP="000E0F93">
      <w:pPr>
        <w:pStyle w:val="Heading4"/>
      </w:pPr>
      <w:r w:rsidRPr="007C0A0E">
        <w:t>Increase must be a net increase</w:t>
      </w:r>
    </w:p>
    <w:p w:rsidR="000E0F93" w:rsidRPr="00C1158E" w:rsidRDefault="000E0F93" w:rsidP="000E0F93">
      <w:r w:rsidRPr="000E0F93">
        <w:rPr>
          <w:rStyle w:val="StyleStyleBold12pt"/>
        </w:rPr>
        <w:t>Rogers 5</w:t>
      </w:r>
      <w:r w:rsidRPr="000E0F93">
        <w:t xml:space="preserve"> </w:t>
      </w:r>
      <w:r>
        <w:t>[</w:t>
      </w:r>
      <w:r w:rsidRPr="00C1158E">
        <w:t>Judge, STATE OF NEW YORK, ET AL., PETITIONERS v. U.S. ENVIRONMENTAL PROTECTION AGENCY, RESPONDENT, NSR MANUFACTURERS ROUNDTABLE, ET AL., INTERVENORS, 2005 U.S. App. LEXIS 12378, **;</w:t>
      </w:r>
      <w:r>
        <w:t xml:space="preserve"> 60 ERC (BNA) 1791, 6/24, lexis]</w:t>
      </w:r>
    </w:p>
    <w:p w:rsidR="000E0F93" w:rsidRPr="00507A97" w:rsidRDefault="000E0F93" w:rsidP="000E0F93">
      <w:pPr>
        <w:rPr>
          <w:sz w:val="16"/>
        </w:rPr>
      </w:pPr>
    </w:p>
    <w:p w:rsidR="000E0F93" w:rsidRPr="004D2843" w:rsidRDefault="000E0F93" w:rsidP="000E0F93">
      <w:pPr>
        <w:rPr>
          <w:sz w:val="16"/>
        </w:rPr>
      </w:pPr>
      <w:r w:rsidRPr="004D2843">
        <w:rPr>
          <w:sz w:val="16"/>
        </w:rPr>
        <w:t xml:space="preserve">[**48]  </w:t>
      </w:r>
      <w:proofErr w:type="gramStart"/>
      <w:r w:rsidRPr="004D2843">
        <w:rPr>
          <w:sz w:val="16"/>
        </w:rPr>
        <w:t>Statutory Interpretation.</w:t>
      </w:r>
      <w:proofErr w:type="gramEnd"/>
      <w:r w:rsidRPr="004D2843">
        <w:rPr>
          <w:sz w:val="16"/>
        </w:rPr>
        <w:t xml:space="preserve"> </w:t>
      </w:r>
      <w:hyperlink r:id="rId11" w:anchor="clscc16" w:history="1">
        <w:r w:rsidRPr="004D2843">
          <w:rPr>
            <w:rStyle w:val="Hyperlink"/>
            <w:sz w:val="16"/>
          </w:rPr>
          <w:t>HN16</w:t>
        </w:r>
      </w:hyperlink>
      <w:r w:rsidRPr="004D2843">
        <w:rPr>
          <w:sz w:val="16"/>
        </w:rPr>
        <w:t xml:space="preserve">While the CAA defines a "modification" as any physical or operational change that "increases" emissions, it is silent on how to calculate such "increases" in emissions. </w:t>
      </w:r>
      <w:hyperlink r:id="rId12" w:history="1">
        <w:r w:rsidRPr="004D2843">
          <w:rPr>
            <w:rStyle w:val="Hyperlink"/>
            <w:sz w:val="16"/>
          </w:rPr>
          <w:t>42 U.S.C. § 7411(a</w:t>
        </w:r>
        <w:proofErr w:type="gramStart"/>
        <w:r w:rsidRPr="004D2843">
          <w:rPr>
            <w:rStyle w:val="Hyperlink"/>
            <w:sz w:val="16"/>
          </w:rPr>
          <w:t>)(</w:t>
        </w:r>
        <w:proofErr w:type="gramEnd"/>
        <w:r w:rsidRPr="004D2843">
          <w:rPr>
            <w:rStyle w:val="Hyperlink"/>
            <w:sz w:val="16"/>
          </w:rPr>
          <w:t>4)</w:t>
        </w:r>
      </w:hyperlink>
      <w:r w:rsidRPr="004D2843">
        <w:rPr>
          <w:sz w:val="16"/>
        </w:rPr>
        <w:t xml:space="preserve">. According to government petitioners, the lack of a statutory definition does not render the term "increases" ambiguous, but merely compels the court to give the term its "ordinary meaning." See Engine </w:t>
      </w:r>
      <w:proofErr w:type="spellStart"/>
      <w:r w:rsidRPr="004D2843">
        <w:rPr>
          <w:sz w:val="16"/>
        </w:rPr>
        <w:t>Mfrs.Ass'nv.S.Coast</w:t>
      </w:r>
      <w:proofErr w:type="spellEnd"/>
      <w:r w:rsidRPr="004D2843">
        <w:rPr>
          <w:sz w:val="16"/>
        </w:rPr>
        <w:t xml:space="preserve"> </w:t>
      </w:r>
      <w:proofErr w:type="spellStart"/>
      <w:proofErr w:type="gramStart"/>
      <w:r w:rsidRPr="004D2843">
        <w:rPr>
          <w:sz w:val="16"/>
        </w:rPr>
        <w:t>AirQualityMgmt.Dist</w:t>
      </w:r>
      <w:proofErr w:type="spellEnd"/>
      <w:r w:rsidRPr="004D2843">
        <w:rPr>
          <w:sz w:val="16"/>
        </w:rPr>
        <w:t>.,</w:t>
      </w:r>
      <w:proofErr w:type="gramEnd"/>
      <w:r w:rsidRPr="004D2843">
        <w:rPr>
          <w:sz w:val="16"/>
        </w:rPr>
        <w:t xml:space="preserve"> 541 U.S. 246, 124 S. Ct. 1756, 1761, 158 L. Ed. 2d 529(2004); </w:t>
      </w:r>
      <w:proofErr w:type="spellStart"/>
      <w:r w:rsidRPr="004D2843">
        <w:rPr>
          <w:sz w:val="16"/>
        </w:rPr>
        <w:t>Bluewater</w:t>
      </w:r>
      <w:proofErr w:type="spellEnd"/>
      <w:r w:rsidRPr="004D2843">
        <w:rPr>
          <w:sz w:val="16"/>
        </w:rPr>
        <w:t xml:space="preserve"> Network, 370 F.3d at 13; Am. </w:t>
      </w:r>
      <w:proofErr w:type="spellStart"/>
      <w:r w:rsidRPr="004D2843">
        <w:rPr>
          <w:sz w:val="16"/>
        </w:rPr>
        <w:t>Fed'n</w:t>
      </w:r>
      <w:proofErr w:type="spellEnd"/>
      <w:r w:rsidRPr="004D2843">
        <w:rPr>
          <w:sz w:val="16"/>
        </w:rPr>
        <w:t xml:space="preserve"> of Gov't Employees v. Glickman, 342 U.S. App. D.C. 7, 215 F.3d 7, 10 [*23]  (D.C. Cir. 2000). Relying on two "real world" analogies, government petitioners contend that </w:t>
      </w:r>
      <w:r w:rsidRPr="004D2843">
        <w:rPr>
          <w:rStyle w:val="StyleBoldUnderline"/>
        </w:rPr>
        <w:t>the ordinary meaning of "increases" requires the baseline to be calculated from a period immediately preceding the change</w:t>
      </w:r>
      <w:r w:rsidRPr="004D2843">
        <w:rPr>
          <w:sz w:val="16"/>
        </w:rPr>
        <w:t xml:space="preserve">. They maintain, for example, that in determining whether a high-pressure weather system "increases" the local temperature, the relevant baseline is the temperature immediately preceding the arrival of the weather system, not the temperature five or ten years ago. Similarly,  [**49]  </w:t>
      </w:r>
      <w:r w:rsidRPr="004D2843">
        <w:rPr>
          <w:rStyle w:val="StyleBoldUnderline"/>
        </w:rPr>
        <w:t>in determining whether a new engine "increases" the value of a car, the relevant baseline is the value of the car immediately preceding the replacement of the engine</w:t>
      </w:r>
      <w:r w:rsidRPr="004D2843">
        <w:rPr>
          <w:sz w:val="16"/>
        </w:rPr>
        <w:t>, not the value of the car five or ten years ago when the engine was in perfect condition.</w:t>
      </w:r>
    </w:p>
    <w:p w:rsidR="000E0F93" w:rsidRDefault="000E0F93" w:rsidP="000E0F93"/>
    <w:p w:rsidR="000E0F93" w:rsidRDefault="000E0F93" w:rsidP="000E0F93">
      <w:pPr>
        <w:pStyle w:val="Heading4"/>
      </w:pPr>
      <w:r>
        <w:t>Economic engagement means d</w:t>
      </w:r>
      <w:r>
        <w:t xml:space="preserve">eliberately expanding economic ties </w:t>
      </w:r>
      <w:r>
        <w:t>to</w:t>
      </w:r>
      <w:r>
        <w:t xml:space="preserve"> change behavior and improve relations</w:t>
      </w:r>
    </w:p>
    <w:p w:rsidR="000E0F93" w:rsidRDefault="000E0F93" w:rsidP="000E0F93">
      <w:proofErr w:type="spellStart"/>
      <w:r w:rsidRPr="00727DF0">
        <w:rPr>
          <w:rStyle w:val="StyleStyleBold12pt"/>
        </w:rPr>
        <w:t>Kahler</w:t>
      </w:r>
      <w:proofErr w:type="spellEnd"/>
      <w:r w:rsidRPr="00727DF0">
        <w:rPr>
          <w:rStyle w:val="StyleStyleBold12pt"/>
        </w:rPr>
        <w:t xml:space="preserve"> &amp; </w:t>
      </w:r>
      <w:proofErr w:type="spellStart"/>
      <w:r w:rsidRPr="00727DF0">
        <w:rPr>
          <w:rStyle w:val="StyleStyleBold12pt"/>
        </w:rPr>
        <w:t>Kastner</w:t>
      </w:r>
      <w:proofErr w:type="spellEnd"/>
      <w:r w:rsidRPr="00727DF0">
        <w:rPr>
          <w:rStyle w:val="StyleStyleBold12pt"/>
        </w:rPr>
        <w:t xml:space="preserve"> 4</w:t>
      </w:r>
      <w:r w:rsidRPr="000E0F93">
        <w:t xml:space="preserve"> </w:t>
      </w:r>
      <w:r>
        <w:t>Graduate School of International Relations and Pacific Studies University of California, San Diego &amp; Department of Government and Politics University of Maryland [</w:t>
      </w:r>
      <w:proofErr w:type="spellStart"/>
      <w:r>
        <w:t>Kahler</w:t>
      </w:r>
      <w:proofErr w:type="spellEnd"/>
      <w:r>
        <w:t xml:space="preserve">, Miles and Scott </w:t>
      </w:r>
      <w:proofErr w:type="spellStart"/>
      <w:r>
        <w:t>Kastner</w:t>
      </w:r>
      <w:proofErr w:type="spellEnd"/>
      <w:r>
        <w:t>. Strategic Uses of Economic Interdependence: Engagement Policies in South Korea, Singapore, and Taiwan. &lt;</w:t>
      </w:r>
      <w:r w:rsidRPr="000E0F93">
        <w:t>www.bsos.umd.edu/gvpt/kastner/KahlerKastner.doc</w:t>
      </w:r>
      <w:r>
        <w:t>&gt;]</w:t>
      </w:r>
    </w:p>
    <w:p w:rsidR="000E0F93" w:rsidRDefault="000E0F93" w:rsidP="000E0F93"/>
    <w:p w:rsidR="000E0F93" w:rsidRPr="00727DF0" w:rsidRDefault="000E0F93" w:rsidP="000E0F93">
      <w:pPr>
        <w:rPr>
          <w:sz w:val="16"/>
        </w:rPr>
      </w:pPr>
      <w:r w:rsidRPr="00077746">
        <w:rPr>
          <w:rStyle w:val="StyleBoldUnderline"/>
        </w:rPr>
        <w:t>Economic engagement—a policy of deliberately expanding economic ties with an adversary in order to change the behavior of the target state and effect an improvement in bilateral political relations</w:t>
      </w:r>
      <w:r w:rsidRPr="00727DF0">
        <w:rPr>
          <w:sz w:val="16"/>
        </w:rPr>
        <w:t>—is the subject of growing, but still limited, interest in the international relations literature.    The bulk of the work on economic statecraft continues to focus on coercive policies such as economic sanctions.  The emphasis on negative forms of economic statecraft is not without justification: the use of economic sanctions is widespread and well-documented, and several quantitative studies have shown that adversarial relations between countries tend to correspond to reduced, rather than enhanced, levels of trade (</w:t>
      </w:r>
      <w:proofErr w:type="spellStart"/>
      <w:r w:rsidRPr="00727DF0">
        <w:rPr>
          <w:sz w:val="16"/>
        </w:rPr>
        <w:t>Gowa</w:t>
      </w:r>
      <w:proofErr w:type="spellEnd"/>
      <w:r w:rsidRPr="00727DF0">
        <w:rPr>
          <w:sz w:val="16"/>
        </w:rPr>
        <w:t xml:space="preserve"> 1994; </w:t>
      </w:r>
      <w:proofErr w:type="spellStart"/>
      <w:r w:rsidRPr="00727DF0">
        <w:rPr>
          <w:sz w:val="16"/>
        </w:rPr>
        <w:t>Pollins</w:t>
      </w:r>
      <w:proofErr w:type="spellEnd"/>
      <w:r w:rsidRPr="00727DF0">
        <w:rPr>
          <w:sz w:val="16"/>
        </w:rPr>
        <w:t xml:space="preserve"> 1989).  At the same time, however, relatively little is known about how widespread strategies of economic engagement actually are: scholars disagree on this point, in part because </w:t>
      </w:r>
      <w:r w:rsidRPr="00077746">
        <w:rPr>
          <w:rStyle w:val="StyleBoldUnderline"/>
        </w:rPr>
        <w:t xml:space="preserve">no database cataloging instances of positive economic statecraft exists </w:t>
      </w:r>
      <w:r w:rsidRPr="00727DF0">
        <w:rPr>
          <w:sz w:val="16"/>
        </w:rPr>
        <w:t>(</w:t>
      </w:r>
      <w:proofErr w:type="spellStart"/>
      <w:r w:rsidRPr="00727DF0">
        <w:rPr>
          <w:sz w:val="16"/>
        </w:rPr>
        <w:t>Mastanduno</w:t>
      </w:r>
      <w:proofErr w:type="spellEnd"/>
      <w:r w:rsidRPr="00727DF0">
        <w:rPr>
          <w:sz w:val="16"/>
        </w:rPr>
        <w:t xml:space="preserve"> 2003).  Furthermore</w:t>
      </w:r>
      <w:r w:rsidRPr="00077746">
        <w:rPr>
          <w:rStyle w:val="StyleBoldUnderline"/>
        </w:rPr>
        <w:t xml:space="preserve">, beginning with the classic work of Hirschman </w:t>
      </w:r>
      <w:r w:rsidRPr="00727DF0">
        <w:rPr>
          <w:sz w:val="16"/>
        </w:rPr>
        <w:t xml:space="preserve">(1945), </w:t>
      </w:r>
      <w:r w:rsidRPr="00077746">
        <w:rPr>
          <w:rStyle w:val="StyleBoldUnderline"/>
        </w:rPr>
        <w:t>most studies</w:t>
      </w:r>
      <w:r w:rsidRPr="00727DF0">
        <w:rPr>
          <w:sz w:val="16"/>
        </w:rPr>
        <w:t xml:space="preserve"> in this </w:t>
      </w:r>
      <w:r w:rsidRPr="00077746">
        <w:rPr>
          <w:rStyle w:val="StyleBoldUnderline"/>
        </w:rPr>
        <w:t>regard have focused on policies adopted by great powers.</w:t>
      </w:r>
      <w:r w:rsidRPr="00727DF0">
        <w:rPr>
          <w:sz w:val="16"/>
        </w:rPr>
        <w:t xml:space="preserve">   But engagement policies adopted by South Korea and the other two states examined in this study, Singapore and Taiwan, demonstrate that engagement is not a strategy limited to the domain of great power politics; instead, it may be more widespread than previously recognized.</w:t>
      </w:r>
    </w:p>
    <w:p w:rsidR="000E0F93" w:rsidRDefault="000E0F93" w:rsidP="00D17C4E"/>
    <w:p w:rsidR="000E0F93" w:rsidRDefault="000E0F93" w:rsidP="000E0F93">
      <w:pPr>
        <w:pStyle w:val="Heading4"/>
      </w:pPr>
      <w:r>
        <w:t>Violation—the plan doesn’t increase economic engagement or ties with Mexico.  They just follow an existing policy</w:t>
      </w:r>
    </w:p>
    <w:p w:rsidR="000E0F93" w:rsidRDefault="000E0F93" w:rsidP="000E0F93">
      <w:pPr>
        <w:pStyle w:val="Heading4"/>
      </w:pPr>
      <w:r>
        <w:t>That’s a voting issue—</w:t>
      </w:r>
    </w:p>
    <w:p w:rsidR="000E0F93" w:rsidRDefault="000E0F93" w:rsidP="000E0F93">
      <w:pPr>
        <w:pStyle w:val="Heading4"/>
      </w:pPr>
      <w:r>
        <w:t xml:space="preserve">First is </w:t>
      </w:r>
      <w:proofErr w:type="gramStart"/>
      <w:r>
        <w:t>limits—</w:t>
      </w:r>
      <w:proofErr w:type="gramEnd"/>
      <w:r>
        <w:t xml:space="preserve">their </w:t>
      </w:r>
      <w:proofErr w:type="spellStart"/>
      <w:r>
        <w:t>aff</w:t>
      </w:r>
      <w:proofErr w:type="spellEnd"/>
      <w:r>
        <w:t xml:space="preserve"> justifies any </w:t>
      </w:r>
      <w:proofErr w:type="spellStart"/>
      <w:r>
        <w:t>aff</w:t>
      </w:r>
      <w:proofErr w:type="spellEnd"/>
      <w:r>
        <w:t xml:space="preserve"> which doesn’t increase the net amount of money we provide to countries.</w:t>
      </w:r>
    </w:p>
    <w:p w:rsidR="000E0F93" w:rsidRDefault="000E0F93" w:rsidP="000E0F93">
      <w:pPr>
        <w:pStyle w:val="Heading4"/>
      </w:pPr>
      <w:r>
        <w:t>Second is ground—they don’t spend any money which gets out of the core negative DA’s to economic engagement.  Forces stale politics and critique debates every round</w:t>
      </w:r>
    </w:p>
    <w:p w:rsidR="000E0F93" w:rsidRDefault="000E0F93" w:rsidP="000E0F93"/>
    <w:p w:rsidR="000E0F93" w:rsidRDefault="000E0F93" w:rsidP="000E0F93"/>
    <w:p w:rsidR="007F32AC" w:rsidRDefault="007F32AC" w:rsidP="000E0F93"/>
    <w:p w:rsidR="007F32AC" w:rsidRDefault="007F32AC" w:rsidP="007F32AC">
      <w:pPr>
        <w:pStyle w:val="Heading3"/>
      </w:pPr>
      <w:r>
        <w:t xml:space="preserve">2AC T </w:t>
      </w:r>
      <w:proofErr w:type="spellStart"/>
      <w:r>
        <w:t>Ev</w:t>
      </w:r>
      <w:proofErr w:type="spellEnd"/>
    </w:p>
    <w:p w:rsidR="007F32AC" w:rsidRDefault="007F32AC" w:rsidP="007F32AC">
      <w:pPr>
        <w:pStyle w:val="Heading4"/>
      </w:pPr>
      <w:r>
        <w:t>Economic engagement includes credits, investments, access to tech, loans, or aid.  It includes removing embargoes or tariffs.  Distinct from Political, Military, and Civil-Society engagement</w:t>
      </w:r>
    </w:p>
    <w:p w:rsidR="007F32AC" w:rsidRDefault="007F32AC" w:rsidP="007F32AC">
      <w:r w:rsidRPr="006D0222">
        <w:rPr>
          <w:rStyle w:val="StyleStyleBold12pt"/>
        </w:rPr>
        <w:t>HAASS &amp; O’SULLIVAN 00 a. VP &amp; Director of Foreign Policy Studies at Brookings, b. Fellow in the Foreign Policy Studies Program at Brookin</w:t>
      </w:r>
      <w:bookmarkStart w:id="0" w:name="_GoBack"/>
      <w:bookmarkEnd w:id="0"/>
      <w:r w:rsidRPr="006D0222">
        <w:rPr>
          <w:rStyle w:val="StyleStyleBold12pt"/>
        </w:rPr>
        <w:t>gs</w:t>
      </w:r>
      <w:r>
        <w:t xml:space="preserve"> [Richard N. </w:t>
      </w:r>
      <w:proofErr w:type="spellStart"/>
      <w:r>
        <w:t>Haass</w:t>
      </w:r>
      <w:proofErr w:type="spellEnd"/>
      <w:r>
        <w:t xml:space="preserve"> and Meghan L. O’Sullivan, Terms of Engagement: Alternatives to Punitive Policies 113, Survival, vol. 42, no. 2, Summer 2000, pp. 113–35]</w:t>
      </w:r>
    </w:p>
    <w:p w:rsidR="007F32AC" w:rsidRPr="006D0222" w:rsidRDefault="007F32AC" w:rsidP="007F32AC"/>
    <w:p w:rsidR="007F32AC" w:rsidRPr="007F32AC" w:rsidRDefault="007F32AC" w:rsidP="007F32AC">
      <w:pPr>
        <w:rPr>
          <w:rStyle w:val="StyleBoldUnderline"/>
        </w:rPr>
      </w:pPr>
      <w:r w:rsidRPr="007F32AC">
        <w:rPr>
          <w:rStyle w:val="StyleBoldUnderline"/>
        </w:rPr>
        <w:t>Architects of engagement</w:t>
      </w:r>
      <w:r w:rsidRPr="007F32AC">
        <w:rPr>
          <w:sz w:val="16"/>
        </w:rPr>
        <w:t xml:space="preserve"> strategies </w:t>
      </w:r>
      <w:r w:rsidRPr="007F32AC">
        <w:rPr>
          <w:rStyle w:val="StyleBoldUnderline"/>
        </w:rPr>
        <w:t>can choose from a wide variety</w:t>
      </w:r>
      <w:r w:rsidRPr="007F32AC">
        <w:rPr>
          <w:sz w:val="16"/>
        </w:rPr>
        <w:t xml:space="preserve"> of incentives. </w:t>
      </w:r>
      <w:r w:rsidRPr="007F32AC">
        <w:rPr>
          <w:rStyle w:val="Emphasis"/>
        </w:rPr>
        <w:t>Economic engagement</w:t>
      </w:r>
      <w:r w:rsidRPr="007F32AC">
        <w:rPr>
          <w:sz w:val="16"/>
        </w:rPr>
        <w:t xml:space="preserve"> </w:t>
      </w:r>
      <w:r w:rsidRPr="007F32AC">
        <w:rPr>
          <w:rStyle w:val="StyleBoldUnderline"/>
        </w:rPr>
        <w:t>might offer tangible incentives such as export credits, investment insurance or promotion</w:t>
      </w:r>
      <w:r w:rsidRPr="007F32AC">
        <w:rPr>
          <w:sz w:val="16"/>
        </w:rPr>
        <w:t xml:space="preserve">, </w:t>
      </w:r>
      <w:r w:rsidRPr="007F32AC">
        <w:rPr>
          <w:rStyle w:val="StyleBoldUnderline"/>
        </w:rPr>
        <w:t>access to technology, loans or economic aid.</w:t>
      </w:r>
      <w:r w:rsidRPr="007F32AC">
        <w:rPr>
          <w:sz w:val="16"/>
        </w:rPr>
        <w:t xml:space="preserve">3 </w:t>
      </w:r>
      <w:r w:rsidRPr="007F32AC">
        <w:rPr>
          <w:rStyle w:val="StyleBoldUnderline"/>
        </w:rPr>
        <w:t>Other</w:t>
      </w:r>
      <w:r w:rsidRPr="007F32AC">
        <w:rPr>
          <w:sz w:val="16"/>
        </w:rPr>
        <w:t xml:space="preserve"> equally useful </w:t>
      </w:r>
      <w:r w:rsidRPr="007F32AC">
        <w:rPr>
          <w:rStyle w:val="StyleBoldUnderline"/>
        </w:rPr>
        <w:t>economic incentives involve the removal of penalties such as trade embargoes</w:t>
      </w:r>
      <w:r w:rsidRPr="007F32AC">
        <w:rPr>
          <w:sz w:val="16"/>
        </w:rPr>
        <w:t xml:space="preserve">, investment </w:t>
      </w:r>
      <w:proofErr w:type="spellStart"/>
      <w:r w:rsidRPr="007F32AC">
        <w:rPr>
          <w:sz w:val="16"/>
        </w:rPr>
        <w:t>bans</w:t>
      </w:r>
      <w:proofErr w:type="spellEnd"/>
      <w:r w:rsidRPr="007F32AC">
        <w:rPr>
          <w:sz w:val="16"/>
        </w:rPr>
        <w:t xml:space="preserve"> or high </w:t>
      </w:r>
      <w:r w:rsidRPr="007F32AC">
        <w:rPr>
          <w:rStyle w:val="StyleBoldUnderline"/>
        </w:rPr>
        <w:t>tariffs, which have impeded economic relations</w:t>
      </w:r>
      <w:r w:rsidRPr="007F32AC">
        <w:rPr>
          <w:sz w:val="16"/>
        </w:rPr>
        <w:t xml:space="preserve"> between the United States and the target country. </w:t>
      </w:r>
      <w:r w:rsidRPr="007F32AC">
        <w:rPr>
          <w:rStyle w:val="StyleBoldUnderline"/>
        </w:rPr>
        <w:t>Facilitated entry into the global economic arena</w:t>
      </w:r>
      <w:r w:rsidRPr="007F32AC">
        <w:rPr>
          <w:sz w:val="16"/>
        </w:rPr>
        <w:t xml:space="preserve"> and the institutions that govern it rank among the most potent incentives in today’s global market. Similarly, </w:t>
      </w:r>
      <w:r w:rsidRPr="007F32AC">
        <w:rPr>
          <w:rStyle w:val="StyleBoldUnderline"/>
        </w:rPr>
        <w:t>political engagement</w:t>
      </w:r>
      <w:r w:rsidRPr="007F32AC">
        <w:rPr>
          <w:sz w:val="16"/>
        </w:rPr>
        <w:t xml:space="preserve"> </w:t>
      </w:r>
      <w:r w:rsidRPr="007F32AC">
        <w:rPr>
          <w:rStyle w:val="StyleBoldUnderline"/>
        </w:rPr>
        <w:t>can involve</w:t>
      </w:r>
      <w:r w:rsidRPr="007F32AC">
        <w:rPr>
          <w:sz w:val="16"/>
        </w:rPr>
        <w:t xml:space="preserve"> the lure of </w:t>
      </w:r>
      <w:r w:rsidRPr="007F32AC">
        <w:rPr>
          <w:rStyle w:val="StyleBoldUnderline"/>
        </w:rPr>
        <w:t>diplomatic recognition, access to</w:t>
      </w:r>
      <w:r w:rsidRPr="007F32AC">
        <w:rPr>
          <w:sz w:val="16"/>
        </w:rPr>
        <w:t xml:space="preserve"> regional or international </w:t>
      </w:r>
      <w:r w:rsidRPr="007F32AC">
        <w:rPr>
          <w:rStyle w:val="StyleBoldUnderline"/>
        </w:rPr>
        <w:t>institutions</w:t>
      </w:r>
      <w:r w:rsidRPr="007F32AC">
        <w:rPr>
          <w:sz w:val="16"/>
        </w:rPr>
        <w:t xml:space="preserve">, </w:t>
      </w:r>
      <w:r w:rsidRPr="007F32AC">
        <w:rPr>
          <w:rStyle w:val="StyleBoldUnderline"/>
        </w:rPr>
        <w:t>the scheduling of summits</w:t>
      </w:r>
      <w:r w:rsidRPr="007F32AC">
        <w:rPr>
          <w:sz w:val="16"/>
        </w:rPr>
        <w:t xml:space="preserve"> between leaders – or the termination of these benefits. </w:t>
      </w:r>
      <w:r w:rsidRPr="007F32AC">
        <w:rPr>
          <w:rStyle w:val="StyleBoldUnderline"/>
        </w:rPr>
        <w:t>Military engagement</w:t>
      </w:r>
      <w:r w:rsidRPr="007F32AC">
        <w:rPr>
          <w:sz w:val="16"/>
        </w:rPr>
        <w:t xml:space="preserve"> </w:t>
      </w:r>
      <w:r w:rsidRPr="007F32AC">
        <w:rPr>
          <w:rStyle w:val="StyleBoldUnderline"/>
        </w:rPr>
        <w:t>could involve the extension of</w:t>
      </w:r>
      <w:r w:rsidRPr="007F32AC">
        <w:rPr>
          <w:sz w:val="16"/>
        </w:rPr>
        <w:t xml:space="preserve"> international military-educational </w:t>
      </w:r>
      <w:r w:rsidRPr="007F32AC">
        <w:rPr>
          <w:rStyle w:val="StyleBoldUnderline"/>
        </w:rPr>
        <w:t>training</w:t>
      </w:r>
      <w:r w:rsidRPr="007F32AC">
        <w:rPr>
          <w:sz w:val="16"/>
        </w:rPr>
        <w:t xml:space="preserve"> in order both to strengthen respect for civilian authority and human rights among a country’s armed forces and, more feasibly, to establish relationships between Americans and young foreign military officers. While these areas of engagement are likely to involve working with state institutions, cultural or </w:t>
      </w:r>
      <w:r w:rsidRPr="007F32AC">
        <w:rPr>
          <w:rStyle w:val="StyleBoldUnderline"/>
        </w:rPr>
        <w:t>civil-society engagement entails building people-to-people contacts</w:t>
      </w:r>
      <w:r w:rsidRPr="007F32AC">
        <w:rPr>
          <w:sz w:val="16"/>
        </w:rPr>
        <w:t xml:space="preserve">. </w:t>
      </w:r>
      <w:r w:rsidRPr="007F32AC">
        <w:rPr>
          <w:rStyle w:val="StyleBoldUnderline"/>
        </w:rPr>
        <w:t xml:space="preserve">Funding non-governmental </w:t>
      </w:r>
      <w:proofErr w:type="spellStart"/>
      <w:r w:rsidRPr="007F32AC">
        <w:rPr>
          <w:rStyle w:val="StyleBoldUnderline"/>
        </w:rPr>
        <w:t>organisations</w:t>
      </w:r>
      <w:proofErr w:type="spellEnd"/>
      <w:r w:rsidRPr="007F32AC">
        <w:rPr>
          <w:rStyle w:val="StyleBoldUnderline"/>
        </w:rPr>
        <w:t>, facilitating the flow of remittances and promoting the exchange of students, tourists and other non-governmental people between countries are just some of the possible incentives used in this form of engagement.</w:t>
      </w:r>
    </w:p>
    <w:p w:rsidR="007F32AC" w:rsidRDefault="007F32AC" w:rsidP="007F32AC"/>
    <w:p w:rsidR="007F32AC" w:rsidRPr="007C0A0E" w:rsidRDefault="007F32AC" w:rsidP="007F32AC">
      <w:pPr>
        <w:pStyle w:val="Heading4"/>
      </w:pPr>
      <w:r w:rsidRPr="007C0A0E">
        <w:t>Increase requires evidence of the preexisting condition</w:t>
      </w:r>
      <w:r>
        <w:t>.</w:t>
      </w:r>
    </w:p>
    <w:p w:rsidR="007F32AC" w:rsidRPr="00C1158E" w:rsidRDefault="007F32AC" w:rsidP="007F32AC">
      <w:pPr>
        <w:widowControl w:val="0"/>
        <w:autoSpaceDE w:val="0"/>
        <w:autoSpaceDN w:val="0"/>
        <w:adjustRightInd w:val="0"/>
      </w:pPr>
      <w:r w:rsidRPr="00C1158E">
        <w:rPr>
          <w:rStyle w:val="StyleStyleBold12pt"/>
        </w:rPr>
        <w:t>Ripple 87</w:t>
      </w:r>
      <w:r w:rsidRPr="00C1158E">
        <w:t xml:space="preserve"> (Circuit Judge, </w:t>
      </w:r>
      <w:proofErr w:type="spellStart"/>
      <w:r w:rsidRPr="00C1158E">
        <w:t>Emmlee</w:t>
      </w:r>
      <w:proofErr w:type="spellEnd"/>
      <w:r w:rsidRPr="00C1158E">
        <w:t xml:space="preserve"> K. Cameron, Plaintiff-Appellant, v. Frances Slocum Bank &amp; Trust Company, State Automobile Insurance Association, and </w:t>
      </w:r>
      <w:proofErr w:type="spellStart"/>
      <w:r w:rsidRPr="00C1158E">
        <w:t>Glassley</w:t>
      </w:r>
      <w:proofErr w:type="spellEnd"/>
      <w:r w:rsidRPr="00C1158E">
        <w:t xml:space="preserve"> Agency of Whitley, Indiana, Defendants-Appellees, 824 F.2d 570; 1987 U.S. App. LEXIS 9816, 9/24, lexis)</w:t>
      </w:r>
    </w:p>
    <w:p w:rsidR="007F32AC" w:rsidRPr="00C1158E" w:rsidRDefault="007F32AC" w:rsidP="007F32AC">
      <w:pPr>
        <w:rPr>
          <w:sz w:val="16"/>
        </w:rPr>
      </w:pPr>
    </w:p>
    <w:p w:rsidR="007F32AC" w:rsidRPr="007F32AC" w:rsidRDefault="007F32AC" w:rsidP="007F32AC">
      <w:pPr>
        <w:rPr>
          <w:sz w:val="16"/>
        </w:rPr>
      </w:pPr>
      <w:r w:rsidRPr="007F32AC">
        <w:rPr>
          <w:sz w:val="16"/>
        </w:rPr>
        <w:t xml:space="preserve">Also related to the waiver issue is appellees' defense relying on a provision of the insurance policy that suspends coverage where the risk is increased by any means within the knowledge or control of the insured. However, </w:t>
      </w:r>
      <w:r w:rsidRPr="004D2843">
        <w:rPr>
          <w:rStyle w:val="StyleBoldUnderline"/>
        </w:rPr>
        <w:t>the term "increase" connotes change. To show change, appellees would have been required to present evidence of the condition of the building at the time the policy was issued</w:t>
      </w:r>
      <w:r w:rsidRPr="007F32AC">
        <w:rPr>
          <w:sz w:val="16"/>
        </w:rPr>
        <w:t xml:space="preserve">. See 5 J. </w:t>
      </w:r>
      <w:proofErr w:type="spellStart"/>
      <w:r w:rsidRPr="007F32AC">
        <w:rPr>
          <w:sz w:val="16"/>
        </w:rPr>
        <w:t>Appleman</w:t>
      </w:r>
      <w:proofErr w:type="spellEnd"/>
      <w:r w:rsidRPr="007F32AC">
        <w:rPr>
          <w:sz w:val="16"/>
        </w:rPr>
        <w:t xml:space="preserve"> &amp; J. </w:t>
      </w:r>
      <w:proofErr w:type="spellStart"/>
      <w:r w:rsidRPr="007F32AC">
        <w:rPr>
          <w:sz w:val="16"/>
        </w:rPr>
        <w:t>Appleman</w:t>
      </w:r>
      <w:proofErr w:type="spellEnd"/>
      <w:r w:rsidRPr="007F32AC">
        <w:rPr>
          <w:sz w:val="16"/>
        </w:rPr>
        <w:t xml:space="preserve">, Insurance Law and Practice, § 2941 at 4-5 (1970). </w:t>
      </w:r>
      <w:r w:rsidRPr="004D2843">
        <w:rPr>
          <w:rStyle w:val="StyleBoldUnderline"/>
        </w:rPr>
        <w:t>Because no such evidence was presented, this court cannot determine</w:t>
      </w:r>
      <w:r w:rsidRPr="007F32AC">
        <w:rPr>
          <w:sz w:val="16"/>
        </w:rPr>
        <w:t xml:space="preserve">, on this record, </w:t>
      </w:r>
      <w:r w:rsidRPr="004D2843">
        <w:rPr>
          <w:rStyle w:val="StyleBoldUnderline"/>
        </w:rPr>
        <w:t>whether the risk has, in fact, been increased.</w:t>
      </w:r>
      <w:r w:rsidRPr="007F32AC">
        <w:rPr>
          <w:sz w:val="16"/>
        </w:rPr>
        <w:t xml:space="preserve"> Indeed, the answer to this question may depend on Mr. </w:t>
      </w:r>
      <w:proofErr w:type="spellStart"/>
      <w:r w:rsidRPr="007F32AC">
        <w:rPr>
          <w:sz w:val="16"/>
        </w:rPr>
        <w:t>Glassley's</w:t>
      </w:r>
      <w:proofErr w:type="spellEnd"/>
      <w:r w:rsidRPr="007F32AC">
        <w:rPr>
          <w:sz w:val="16"/>
        </w:rPr>
        <w:t xml:space="preserve"> knowledge of the condition of the building at the time the policy was issued, see 17 J. </w:t>
      </w:r>
      <w:proofErr w:type="spellStart"/>
      <w:r w:rsidRPr="007F32AC">
        <w:rPr>
          <w:sz w:val="16"/>
        </w:rPr>
        <w:t>Appleman</w:t>
      </w:r>
      <w:proofErr w:type="spellEnd"/>
      <w:r w:rsidRPr="007F32AC">
        <w:rPr>
          <w:sz w:val="16"/>
        </w:rPr>
        <w:t xml:space="preserve"> &amp; J. </w:t>
      </w:r>
      <w:proofErr w:type="spellStart"/>
      <w:r w:rsidRPr="007F32AC">
        <w:rPr>
          <w:sz w:val="16"/>
        </w:rPr>
        <w:t>Appleman</w:t>
      </w:r>
      <w:proofErr w:type="spellEnd"/>
      <w:r w:rsidRPr="007F32AC">
        <w:rPr>
          <w:sz w:val="16"/>
        </w:rPr>
        <w:t>, Insurance Law and Practice, § 9602 at 515-16 (1981), since the fundamental issue is whether the appellees contemplated insuring the risk which incurred the loss.</w:t>
      </w:r>
    </w:p>
    <w:p w:rsidR="007F32AC" w:rsidRPr="007C0A0E" w:rsidRDefault="007F32AC" w:rsidP="007F32AC"/>
    <w:p w:rsidR="007F32AC" w:rsidRDefault="007F32AC" w:rsidP="007F32AC">
      <w:pPr>
        <w:pStyle w:val="Heading4"/>
      </w:pPr>
      <w:r>
        <w:t>To Increase means to grow in size or value</w:t>
      </w:r>
    </w:p>
    <w:p w:rsidR="007F32AC" w:rsidRPr="004351CE" w:rsidRDefault="007F32AC" w:rsidP="007F32AC">
      <w:pPr>
        <w:rPr>
          <w:rStyle w:val="StyleStyleBold12pt"/>
        </w:rPr>
      </w:pPr>
      <w:proofErr w:type="gramStart"/>
      <w:r w:rsidRPr="004351CE">
        <w:rPr>
          <w:rStyle w:val="StyleStyleBold12pt"/>
        </w:rPr>
        <w:t>BALLENTINES  10</w:t>
      </w:r>
      <w:proofErr w:type="gramEnd"/>
      <w:r w:rsidRPr="004351CE">
        <w:rPr>
          <w:rStyle w:val="StyleStyleBold12pt"/>
        </w:rPr>
        <w:t xml:space="preserve">   [</w:t>
      </w:r>
      <w:proofErr w:type="spellStart"/>
      <w:r w:rsidRPr="004351CE">
        <w:rPr>
          <w:rStyle w:val="StyleStyleBold12pt"/>
        </w:rPr>
        <w:t>Ballentines</w:t>
      </w:r>
      <w:proofErr w:type="spellEnd"/>
      <w:r w:rsidRPr="004351CE">
        <w:rPr>
          <w:rStyle w:val="StyleStyleBold12pt"/>
        </w:rPr>
        <w:t xml:space="preserve"> Law Dictionary, 2010, lexis]</w:t>
      </w:r>
    </w:p>
    <w:p w:rsidR="007F32AC" w:rsidRDefault="007F32AC" w:rsidP="007F32AC"/>
    <w:p w:rsidR="007F32AC" w:rsidRPr="007F32AC" w:rsidRDefault="007F32AC" w:rsidP="007F32AC">
      <w:pPr>
        <w:rPr>
          <w:sz w:val="16"/>
          <w:szCs w:val="16"/>
        </w:rPr>
      </w:pPr>
      <w:r w:rsidRPr="007F32AC">
        <w:rPr>
          <w:sz w:val="16"/>
          <w:szCs w:val="16"/>
        </w:rPr>
        <w:t>TERM: increase.</w:t>
      </w:r>
    </w:p>
    <w:p w:rsidR="007F32AC" w:rsidRPr="007F32AC" w:rsidRDefault="007F32AC" w:rsidP="007F32AC">
      <w:pPr>
        <w:rPr>
          <w:sz w:val="16"/>
        </w:rPr>
      </w:pPr>
      <w:r w:rsidRPr="007F32AC">
        <w:rPr>
          <w:sz w:val="16"/>
        </w:rPr>
        <w:t xml:space="preserve">TEXT: </w:t>
      </w:r>
      <w:r w:rsidRPr="004351CE">
        <w:rPr>
          <w:rStyle w:val="StyleBoldUnderline"/>
        </w:rPr>
        <w:t>Verb: Deriving from</w:t>
      </w:r>
      <w:r w:rsidRPr="007F32AC">
        <w:rPr>
          <w:sz w:val="16"/>
        </w:rPr>
        <w:t xml:space="preserve"> the Latin "</w:t>
      </w:r>
      <w:proofErr w:type="spellStart"/>
      <w:r w:rsidRPr="007F32AC">
        <w:rPr>
          <w:sz w:val="16"/>
        </w:rPr>
        <w:t>crescere</w:t>
      </w:r>
      <w:proofErr w:type="spellEnd"/>
      <w:r w:rsidRPr="007F32AC">
        <w:rPr>
          <w:sz w:val="16"/>
        </w:rPr>
        <w:t xml:space="preserve">"; </w:t>
      </w:r>
      <w:r w:rsidRPr="004351CE">
        <w:rPr>
          <w:rStyle w:val="StyleBoldUnderline"/>
        </w:rPr>
        <w:t xml:space="preserve">to grow. </w:t>
      </w:r>
      <w:proofErr w:type="gramStart"/>
      <w:r w:rsidRPr="004351CE">
        <w:rPr>
          <w:rStyle w:val="StyleBoldUnderline"/>
        </w:rPr>
        <w:t>To augment in size or in value</w:t>
      </w:r>
      <w:r w:rsidRPr="007F32AC">
        <w:rPr>
          <w:sz w:val="16"/>
        </w:rPr>
        <w:t>.</w:t>
      </w:r>
      <w:proofErr w:type="gramEnd"/>
      <w:r w:rsidRPr="007F32AC">
        <w:rPr>
          <w:sz w:val="16"/>
        </w:rPr>
        <w:t xml:space="preserve"> Anno: 32 ALR 854. Noun: Growth or augmentation; amount of growth.</w:t>
      </w:r>
    </w:p>
    <w:p w:rsidR="007F32AC" w:rsidRDefault="007F32AC" w:rsidP="007F32AC"/>
    <w:p w:rsidR="007F32AC" w:rsidRPr="007C0A0E" w:rsidRDefault="007F32AC" w:rsidP="007F32AC">
      <w:pPr>
        <w:pStyle w:val="Heading4"/>
      </w:pPr>
      <w:r w:rsidRPr="007C0A0E">
        <w:t>Increase means to become larger or greater in quantity</w:t>
      </w:r>
    </w:p>
    <w:p w:rsidR="007F32AC" w:rsidRPr="00C1158E" w:rsidRDefault="007F32AC" w:rsidP="007F32AC">
      <w:proofErr w:type="gramStart"/>
      <w:r w:rsidRPr="007F32AC">
        <w:rPr>
          <w:rStyle w:val="StyleStyleBold12pt"/>
        </w:rPr>
        <w:t>Encarta Online Dictionary 6</w:t>
      </w:r>
      <w:r w:rsidRPr="00C1158E">
        <w:t xml:space="preserve"> ("Increase."</w:t>
      </w:r>
      <w:proofErr w:type="gramEnd"/>
      <w:r w:rsidRPr="00C1158E">
        <w:t xml:space="preserve"> &lt;http://encarta.msn.com/encnet/features/dictionary/DictionaryResults.aspx?refid=1861620741&gt;.)</w:t>
      </w:r>
    </w:p>
    <w:p w:rsidR="007F32AC" w:rsidRPr="00C1158E" w:rsidRDefault="007F32AC" w:rsidP="007F32AC"/>
    <w:p w:rsidR="007F32AC" w:rsidRPr="007F32AC" w:rsidRDefault="007F32AC" w:rsidP="007F32AC">
      <w:pPr>
        <w:rPr>
          <w:sz w:val="16"/>
        </w:rPr>
      </w:pPr>
      <w:proofErr w:type="spellStart"/>
      <w:proofErr w:type="gramStart"/>
      <w:r w:rsidRPr="004D2843">
        <w:rPr>
          <w:rStyle w:val="StyleBoldUnderline"/>
        </w:rPr>
        <w:t>in·</w:t>
      </w:r>
      <w:proofErr w:type="gramEnd"/>
      <w:r w:rsidRPr="004D2843">
        <w:rPr>
          <w:rStyle w:val="StyleBoldUnderline"/>
        </w:rPr>
        <w:t>crease</w:t>
      </w:r>
      <w:proofErr w:type="spellEnd"/>
      <w:r w:rsidRPr="007F32AC">
        <w:rPr>
          <w:sz w:val="16"/>
        </w:rPr>
        <w:t xml:space="preserve"> [ in </w:t>
      </w:r>
      <w:proofErr w:type="spellStart"/>
      <w:r w:rsidRPr="007F32AC">
        <w:rPr>
          <w:sz w:val="16"/>
        </w:rPr>
        <w:t>krss</w:t>
      </w:r>
      <w:proofErr w:type="spellEnd"/>
      <w:r w:rsidRPr="007F32AC">
        <w:rPr>
          <w:sz w:val="16"/>
        </w:rPr>
        <w:t xml:space="preserve"> ]</w:t>
      </w:r>
      <w:r w:rsidRPr="007F32AC">
        <w:rPr>
          <w:sz w:val="16"/>
        </w:rPr>
        <w:br/>
        <w:t>transitive and intransitive verb  (</w:t>
      </w:r>
      <w:r w:rsidRPr="007F32AC">
        <w:rPr>
          <w:i/>
          <w:iCs/>
          <w:sz w:val="16"/>
        </w:rPr>
        <w:t>past and past participle</w:t>
      </w:r>
      <w:r w:rsidRPr="007F32AC">
        <w:rPr>
          <w:sz w:val="16"/>
        </w:rPr>
        <w:t xml:space="preserve"> </w:t>
      </w:r>
      <w:proofErr w:type="spellStart"/>
      <w:r w:rsidRPr="007F32AC">
        <w:rPr>
          <w:sz w:val="16"/>
        </w:rPr>
        <w:t>in·creased</w:t>
      </w:r>
      <w:proofErr w:type="spellEnd"/>
      <w:r w:rsidRPr="007F32AC">
        <w:rPr>
          <w:sz w:val="16"/>
        </w:rPr>
        <w:t xml:space="preserve">, </w:t>
      </w:r>
      <w:r w:rsidRPr="007F32AC">
        <w:rPr>
          <w:i/>
          <w:iCs/>
          <w:sz w:val="16"/>
        </w:rPr>
        <w:t>present participle</w:t>
      </w:r>
      <w:r w:rsidRPr="007F32AC">
        <w:rPr>
          <w:sz w:val="16"/>
        </w:rPr>
        <w:t xml:space="preserve"> </w:t>
      </w:r>
      <w:proofErr w:type="spellStart"/>
      <w:r w:rsidRPr="007F32AC">
        <w:rPr>
          <w:sz w:val="16"/>
        </w:rPr>
        <w:t>in·creas·ing</w:t>
      </w:r>
      <w:proofErr w:type="spellEnd"/>
      <w:r w:rsidRPr="007F32AC">
        <w:rPr>
          <w:sz w:val="16"/>
        </w:rPr>
        <w:t xml:space="preserve">, </w:t>
      </w:r>
      <w:r w:rsidRPr="007F32AC">
        <w:rPr>
          <w:i/>
          <w:iCs/>
          <w:sz w:val="16"/>
        </w:rPr>
        <w:t>3rd person present singular</w:t>
      </w:r>
      <w:r w:rsidRPr="007F32AC">
        <w:rPr>
          <w:sz w:val="16"/>
        </w:rPr>
        <w:t xml:space="preserve"> </w:t>
      </w:r>
      <w:proofErr w:type="spellStart"/>
      <w:r w:rsidRPr="007F32AC">
        <w:rPr>
          <w:sz w:val="16"/>
        </w:rPr>
        <w:t>in·creas·es</w:t>
      </w:r>
      <w:proofErr w:type="spellEnd"/>
      <w:r w:rsidRPr="007F32AC">
        <w:rPr>
          <w:sz w:val="16"/>
        </w:rPr>
        <w:t>)Definition</w:t>
      </w:r>
      <w:r w:rsidRPr="007F32AC">
        <w:rPr>
          <w:b/>
          <w:bCs/>
          <w:sz w:val="16"/>
        </w:rPr>
        <w:t>: make or become larger or greater: </w:t>
      </w:r>
      <w:r w:rsidRPr="004D2843">
        <w:rPr>
          <w:rStyle w:val="StyleBoldUnderline"/>
        </w:rPr>
        <w:t>to become, or make something become, larger in number, quantity, or degree</w:t>
      </w:r>
      <w:r w:rsidRPr="004D2843">
        <w:rPr>
          <w:rStyle w:val="StyleBoldUnderline"/>
        </w:rPr>
        <w:br/>
      </w:r>
      <w:r w:rsidRPr="007F32AC">
        <w:rPr>
          <w:sz w:val="16"/>
        </w:rPr>
        <w:t>noun  (</w:t>
      </w:r>
      <w:r w:rsidRPr="007F32AC">
        <w:rPr>
          <w:i/>
          <w:iCs/>
          <w:sz w:val="16"/>
        </w:rPr>
        <w:t>plural</w:t>
      </w:r>
      <w:r w:rsidRPr="007F32AC">
        <w:rPr>
          <w:sz w:val="16"/>
        </w:rPr>
        <w:t xml:space="preserve"> </w:t>
      </w:r>
      <w:proofErr w:type="spellStart"/>
      <w:r w:rsidRPr="007F32AC">
        <w:rPr>
          <w:sz w:val="16"/>
        </w:rPr>
        <w:t>in·creas·es</w:t>
      </w:r>
      <w:proofErr w:type="spellEnd"/>
      <w:r w:rsidRPr="007F32AC">
        <w:rPr>
          <w:sz w:val="16"/>
        </w:rPr>
        <w:t>)</w:t>
      </w:r>
    </w:p>
    <w:p w:rsidR="007F32AC" w:rsidRPr="00C1158E" w:rsidRDefault="007F32AC" w:rsidP="007F32AC"/>
    <w:p w:rsidR="007F32AC" w:rsidRDefault="007F32AC" w:rsidP="007F32AC"/>
    <w:p w:rsidR="007F32AC" w:rsidRDefault="007F32AC" w:rsidP="007F32AC"/>
    <w:p w:rsidR="007F32AC" w:rsidRDefault="007F32AC" w:rsidP="007F32AC"/>
    <w:p w:rsidR="007F32AC" w:rsidRPr="007F32AC" w:rsidRDefault="007F32AC" w:rsidP="007F32AC"/>
    <w:p w:rsidR="000E0F93" w:rsidRDefault="000E0F93" w:rsidP="000E0F93"/>
    <w:p w:rsidR="000E0F93" w:rsidRDefault="000E0F93" w:rsidP="000E0F93"/>
    <w:p w:rsidR="000E0F93" w:rsidRDefault="000E0F93" w:rsidP="000E0F93"/>
    <w:p w:rsidR="000E0F93" w:rsidRDefault="000E0F93" w:rsidP="000E0F93"/>
    <w:p w:rsidR="000E0F93" w:rsidRDefault="000E0F93" w:rsidP="000E0F93"/>
    <w:p w:rsidR="000E0F93" w:rsidRDefault="000E0F93" w:rsidP="000E0F93"/>
    <w:p w:rsidR="000E0F93" w:rsidRDefault="000E0F93" w:rsidP="000E0F93"/>
    <w:p w:rsidR="000E0F93" w:rsidRPr="000E0F93" w:rsidRDefault="000E0F93" w:rsidP="000E0F93"/>
    <w:sectPr w:rsidR="000E0F93" w:rsidRPr="000E0F93">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EA8" w:rsidRDefault="001F7EA8" w:rsidP="005F5576">
      <w:r>
        <w:separator/>
      </w:r>
    </w:p>
  </w:endnote>
  <w:endnote w:type="continuationSeparator" w:id="0">
    <w:p w:rsidR="001F7EA8" w:rsidRDefault="001F7EA8"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EA8" w:rsidRDefault="001F7EA8" w:rsidP="005F5576">
      <w:r>
        <w:separator/>
      </w:r>
    </w:p>
  </w:footnote>
  <w:footnote w:type="continuationSeparator" w:id="0">
    <w:p w:rsidR="001F7EA8" w:rsidRDefault="001F7EA8"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93"/>
    <w:rsid w:val="000022F2"/>
    <w:rsid w:val="0000459F"/>
    <w:rsid w:val="00004EB4"/>
    <w:rsid w:val="000214BC"/>
    <w:rsid w:val="0002196C"/>
    <w:rsid w:val="00021F29"/>
    <w:rsid w:val="00027EED"/>
    <w:rsid w:val="0003041D"/>
    <w:rsid w:val="00031AA9"/>
    <w:rsid w:val="00032FEE"/>
    <w:rsid w:val="00033028"/>
    <w:rsid w:val="00033DA6"/>
    <w:rsid w:val="00033E34"/>
    <w:rsid w:val="000360A7"/>
    <w:rsid w:val="00052A1D"/>
    <w:rsid w:val="000542EA"/>
    <w:rsid w:val="00055E12"/>
    <w:rsid w:val="0006387E"/>
    <w:rsid w:val="00064A59"/>
    <w:rsid w:val="0007162E"/>
    <w:rsid w:val="00073B9A"/>
    <w:rsid w:val="00085694"/>
    <w:rsid w:val="00090287"/>
    <w:rsid w:val="00090BA2"/>
    <w:rsid w:val="000943E3"/>
    <w:rsid w:val="000978A3"/>
    <w:rsid w:val="00097D7E"/>
    <w:rsid w:val="000A1D39"/>
    <w:rsid w:val="000A28A4"/>
    <w:rsid w:val="000A3827"/>
    <w:rsid w:val="000A4FA5"/>
    <w:rsid w:val="000B2631"/>
    <w:rsid w:val="000B61C8"/>
    <w:rsid w:val="000C1546"/>
    <w:rsid w:val="000C5245"/>
    <w:rsid w:val="000C767D"/>
    <w:rsid w:val="000D0B76"/>
    <w:rsid w:val="000D2449"/>
    <w:rsid w:val="000D2AE5"/>
    <w:rsid w:val="000D3A26"/>
    <w:rsid w:val="000D3D8D"/>
    <w:rsid w:val="000E0F93"/>
    <w:rsid w:val="000E41A3"/>
    <w:rsid w:val="000E6C11"/>
    <w:rsid w:val="000F37E7"/>
    <w:rsid w:val="0011123C"/>
    <w:rsid w:val="00113C68"/>
    <w:rsid w:val="00114663"/>
    <w:rsid w:val="0011668A"/>
    <w:rsid w:val="00117768"/>
    <w:rsid w:val="0012057B"/>
    <w:rsid w:val="00126D92"/>
    <w:rsid w:val="00127993"/>
    <w:rsid w:val="001301AC"/>
    <w:rsid w:val="001304DF"/>
    <w:rsid w:val="00136128"/>
    <w:rsid w:val="00140397"/>
    <w:rsid w:val="0014072D"/>
    <w:rsid w:val="00141F7D"/>
    <w:rsid w:val="00141FBF"/>
    <w:rsid w:val="0016509D"/>
    <w:rsid w:val="0016711C"/>
    <w:rsid w:val="00167A9F"/>
    <w:rsid w:val="001710D5"/>
    <w:rsid w:val="001711E1"/>
    <w:rsid w:val="00171EB2"/>
    <w:rsid w:val="00175018"/>
    <w:rsid w:val="00176F9D"/>
    <w:rsid w:val="00177828"/>
    <w:rsid w:val="00177A1E"/>
    <w:rsid w:val="00180FC3"/>
    <w:rsid w:val="00182D51"/>
    <w:rsid w:val="0018565A"/>
    <w:rsid w:val="001923DE"/>
    <w:rsid w:val="00194C21"/>
    <w:rsid w:val="001956B6"/>
    <w:rsid w:val="0019587B"/>
    <w:rsid w:val="001A4F0E"/>
    <w:rsid w:val="001B0A04"/>
    <w:rsid w:val="001B2AB9"/>
    <w:rsid w:val="001B3CEC"/>
    <w:rsid w:val="001B70BC"/>
    <w:rsid w:val="001C1D82"/>
    <w:rsid w:val="001C2147"/>
    <w:rsid w:val="001C5355"/>
    <w:rsid w:val="001C587E"/>
    <w:rsid w:val="001C7C90"/>
    <w:rsid w:val="001D0D51"/>
    <w:rsid w:val="001D3847"/>
    <w:rsid w:val="001E2F03"/>
    <w:rsid w:val="001F5B2C"/>
    <w:rsid w:val="001F7572"/>
    <w:rsid w:val="001F7EA8"/>
    <w:rsid w:val="0020006E"/>
    <w:rsid w:val="002009AE"/>
    <w:rsid w:val="00201117"/>
    <w:rsid w:val="002101DA"/>
    <w:rsid w:val="00210B2A"/>
    <w:rsid w:val="0021112F"/>
    <w:rsid w:val="00217499"/>
    <w:rsid w:val="00223B3C"/>
    <w:rsid w:val="0024023F"/>
    <w:rsid w:val="00240C4E"/>
    <w:rsid w:val="00243DC0"/>
    <w:rsid w:val="00250E16"/>
    <w:rsid w:val="00257696"/>
    <w:rsid w:val="0026382E"/>
    <w:rsid w:val="002708F1"/>
    <w:rsid w:val="00272786"/>
    <w:rsid w:val="002770BE"/>
    <w:rsid w:val="00285A27"/>
    <w:rsid w:val="00287AB7"/>
    <w:rsid w:val="00294070"/>
    <w:rsid w:val="00294D00"/>
    <w:rsid w:val="002A213E"/>
    <w:rsid w:val="002A612B"/>
    <w:rsid w:val="002B68A4"/>
    <w:rsid w:val="002C571D"/>
    <w:rsid w:val="002C5772"/>
    <w:rsid w:val="002D0374"/>
    <w:rsid w:val="002D110C"/>
    <w:rsid w:val="002D2946"/>
    <w:rsid w:val="002D529E"/>
    <w:rsid w:val="002D6BD6"/>
    <w:rsid w:val="002E1A8B"/>
    <w:rsid w:val="002E4DD9"/>
    <w:rsid w:val="002E574D"/>
    <w:rsid w:val="002F0314"/>
    <w:rsid w:val="002F5BEB"/>
    <w:rsid w:val="00300E0B"/>
    <w:rsid w:val="0031182D"/>
    <w:rsid w:val="00314B9D"/>
    <w:rsid w:val="00315CA2"/>
    <w:rsid w:val="003162A1"/>
    <w:rsid w:val="00316FEB"/>
    <w:rsid w:val="003172E7"/>
    <w:rsid w:val="00326EEB"/>
    <w:rsid w:val="0033078A"/>
    <w:rsid w:val="00331559"/>
    <w:rsid w:val="003367DE"/>
    <w:rsid w:val="00341D6C"/>
    <w:rsid w:val="00344E91"/>
    <w:rsid w:val="00347123"/>
    <w:rsid w:val="0034756E"/>
    <w:rsid w:val="00347E74"/>
    <w:rsid w:val="00351D97"/>
    <w:rsid w:val="00354B5B"/>
    <w:rsid w:val="003726A4"/>
    <w:rsid w:val="003746ED"/>
    <w:rsid w:val="00381B2F"/>
    <w:rsid w:val="00383E0A"/>
    <w:rsid w:val="003847C7"/>
    <w:rsid w:val="00385298"/>
    <w:rsid w:val="003852CE"/>
    <w:rsid w:val="0039071F"/>
    <w:rsid w:val="00390CA7"/>
    <w:rsid w:val="00392E92"/>
    <w:rsid w:val="00395C83"/>
    <w:rsid w:val="003A2A3B"/>
    <w:rsid w:val="003A440C"/>
    <w:rsid w:val="003A6FE0"/>
    <w:rsid w:val="003B024E"/>
    <w:rsid w:val="003B0C84"/>
    <w:rsid w:val="003B183E"/>
    <w:rsid w:val="003B1F6F"/>
    <w:rsid w:val="003B2F3E"/>
    <w:rsid w:val="003B55B7"/>
    <w:rsid w:val="003B782D"/>
    <w:rsid w:val="003C3C2D"/>
    <w:rsid w:val="003C4127"/>
    <w:rsid w:val="003C5E8A"/>
    <w:rsid w:val="003C756E"/>
    <w:rsid w:val="003D2C33"/>
    <w:rsid w:val="003D6737"/>
    <w:rsid w:val="003E4831"/>
    <w:rsid w:val="003E48DE"/>
    <w:rsid w:val="003E6318"/>
    <w:rsid w:val="003E7E8B"/>
    <w:rsid w:val="003F3030"/>
    <w:rsid w:val="003F322F"/>
    <w:rsid w:val="003F47AE"/>
    <w:rsid w:val="003F6376"/>
    <w:rsid w:val="00403971"/>
    <w:rsid w:val="00406894"/>
    <w:rsid w:val="00407386"/>
    <w:rsid w:val="00411A6C"/>
    <w:rsid w:val="004138EF"/>
    <w:rsid w:val="00413F3D"/>
    <w:rsid w:val="00416F4A"/>
    <w:rsid w:val="00422301"/>
    <w:rsid w:val="00425CA3"/>
    <w:rsid w:val="004319DE"/>
    <w:rsid w:val="00435232"/>
    <w:rsid w:val="004400EA"/>
    <w:rsid w:val="00450882"/>
    <w:rsid w:val="00451C20"/>
    <w:rsid w:val="00452001"/>
    <w:rsid w:val="00453382"/>
    <w:rsid w:val="0045442E"/>
    <w:rsid w:val="004564E2"/>
    <w:rsid w:val="00462418"/>
    <w:rsid w:val="00462F3B"/>
    <w:rsid w:val="00471A70"/>
    <w:rsid w:val="00473A79"/>
    <w:rsid w:val="0047583F"/>
    <w:rsid w:val="00475E03"/>
    <w:rsid w:val="00476723"/>
    <w:rsid w:val="0047798D"/>
    <w:rsid w:val="004852BE"/>
    <w:rsid w:val="004908DE"/>
    <w:rsid w:val="004931DE"/>
    <w:rsid w:val="004A6083"/>
    <w:rsid w:val="004A6E81"/>
    <w:rsid w:val="004A7806"/>
    <w:rsid w:val="004B0545"/>
    <w:rsid w:val="004B074A"/>
    <w:rsid w:val="004B35C1"/>
    <w:rsid w:val="004B7E46"/>
    <w:rsid w:val="004D0C2D"/>
    <w:rsid w:val="004D20F3"/>
    <w:rsid w:val="004D3745"/>
    <w:rsid w:val="004D3987"/>
    <w:rsid w:val="004D5BFD"/>
    <w:rsid w:val="004E294C"/>
    <w:rsid w:val="004E3132"/>
    <w:rsid w:val="004E36F3"/>
    <w:rsid w:val="004E552E"/>
    <w:rsid w:val="004E656D"/>
    <w:rsid w:val="004E7780"/>
    <w:rsid w:val="004F0849"/>
    <w:rsid w:val="004F173C"/>
    <w:rsid w:val="004F1B8C"/>
    <w:rsid w:val="004F33F3"/>
    <w:rsid w:val="004F45B0"/>
    <w:rsid w:val="00500CF0"/>
    <w:rsid w:val="005020C3"/>
    <w:rsid w:val="005111F8"/>
    <w:rsid w:val="00513FA2"/>
    <w:rsid w:val="00514387"/>
    <w:rsid w:val="00516459"/>
    <w:rsid w:val="00517344"/>
    <w:rsid w:val="00520153"/>
    <w:rsid w:val="005349E1"/>
    <w:rsid w:val="00534C8B"/>
    <w:rsid w:val="00537EF5"/>
    <w:rsid w:val="005420CC"/>
    <w:rsid w:val="005434D0"/>
    <w:rsid w:val="00543A69"/>
    <w:rsid w:val="0054437C"/>
    <w:rsid w:val="00546D61"/>
    <w:rsid w:val="00546D77"/>
    <w:rsid w:val="00553B23"/>
    <w:rsid w:val="00553F8B"/>
    <w:rsid w:val="00556F06"/>
    <w:rsid w:val="005579BF"/>
    <w:rsid w:val="00560C3E"/>
    <w:rsid w:val="00563468"/>
    <w:rsid w:val="00564EC2"/>
    <w:rsid w:val="00565EAE"/>
    <w:rsid w:val="00566F59"/>
    <w:rsid w:val="00572EB7"/>
    <w:rsid w:val="00573677"/>
    <w:rsid w:val="00575F7D"/>
    <w:rsid w:val="00580383"/>
    <w:rsid w:val="00580E40"/>
    <w:rsid w:val="00581393"/>
    <w:rsid w:val="00585806"/>
    <w:rsid w:val="00590731"/>
    <w:rsid w:val="005A506B"/>
    <w:rsid w:val="005A56DD"/>
    <w:rsid w:val="005A701C"/>
    <w:rsid w:val="005A745F"/>
    <w:rsid w:val="005B2444"/>
    <w:rsid w:val="005B2D14"/>
    <w:rsid w:val="005B3140"/>
    <w:rsid w:val="005B7AA9"/>
    <w:rsid w:val="005C0B05"/>
    <w:rsid w:val="005D1156"/>
    <w:rsid w:val="005E0681"/>
    <w:rsid w:val="005E291F"/>
    <w:rsid w:val="005E3B08"/>
    <w:rsid w:val="005E3FE4"/>
    <w:rsid w:val="005E572E"/>
    <w:rsid w:val="005E7805"/>
    <w:rsid w:val="005F5576"/>
    <w:rsid w:val="006010A3"/>
    <w:rsid w:val="006014AB"/>
    <w:rsid w:val="00601804"/>
    <w:rsid w:val="006042FC"/>
    <w:rsid w:val="00605F20"/>
    <w:rsid w:val="0061680A"/>
    <w:rsid w:val="00623B70"/>
    <w:rsid w:val="00631E5B"/>
    <w:rsid w:val="00631FCE"/>
    <w:rsid w:val="00634B24"/>
    <w:rsid w:val="0063578B"/>
    <w:rsid w:val="00635B69"/>
    <w:rsid w:val="00636B3D"/>
    <w:rsid w:val="00641025"/>
    <w:rsid w:val="00650E98"/>
    <w:rsid w:val="0065122F"/>
    <w:rsid w:val="00656C61"/>
    <w:rsid w:val="00657B79"/>
    <w:rsid w:val="006672D8"/>
    <w:rsid w:val="006708A6"/>
    <w:rsid w:val="00670D96"/>
    <w:rsid w:val="00672877"/>
    <w:rsid w:val="00683154"/>
    <w:rsid w:val="00686F2E"/>
    <w:rsid w:val="00687F89"/>
    <w:rsid w:val="00690115"/>
    <w:rsid w:val="00690898"/>
    <w:rsid w:val="00693039"/>
    <w:rsid w:val="00693A5A"/>
    <w:rsid w:val="006A2A35"/>
    <w:rsid w:val="006A7547"/>
    <w:rsid w:val="006B1F04"/>
    <w:rsid w:val="006B302F"/>
    <w:rsid w:val="006C64D4"/>
    <w:rsid w:val="006C6C37"/>
    <w:rsid w:val="006E53F0"/>
    <w:rsid w:val="006F46C3"/>
    <w:rsid w:val="006F7CDF"/>
    <w:rsid w:val="00700BDB"/>
    <w:rsid w:val="0070121B"/>
    <w:rsid w:val="00701E73"/>
    <w:rsid w:val="00706087"/>
    <w:rsid w:val="00711FE2"/>
    <w:rsid w:val="007124FB"/>
    <w:rsid w:val="00712649"/>
    <w:rsid w:val="00714BC9"/>
    <w:rsid w:val="00715CA3"/>
    <w:rsid w:val="00723F91"/>
    <w:rsid w:val="00725623"/>
    <w:rsid w:val="0073069D"/>
    <w:rsid w:val="0073721A"/>
    <w:rsid w:val="00743059"/>
    <w:rsid w:val="00744F58"/>
    <w:rsid w:val="00744FB9"/>
    <w:rsid w:val="00750CED"/>
    <w:rsid w:val="00760A29"/>
    <w:rsid w:val="00770BFD"/>
    <w:rsid w:val="00771E18"/>
    <w:rsid w:val="007739F1"/>
    <w:rsid w:val="007745C6"/>
    <w:rsid w:val="007755F6"/>
    <w:rsid w:val="007761AD"/>
    <w:rsid w:val="0077736C"/>
    <w:rsid w:val="00777387"/>
    <w:rsid w:val="007815E5"/>
    <w:rsid w:val="00787343"/>
    <w:rsid w:val="00790BFA"/>
    <w:rsid w:val="00791121"/>
    <w:rsid w:val="00791C88"/>
    <w:rsid w:val="007972F0"/>
    <w:rsid w:val="00797B76"/>
    <w:rsid w:val="007A142A"/>
    <w:rsid w:val="007A3D06"/>
    <w:rsid w:val="007B05CB"/>
    <w:rsid w:val="007B13BD"/>
    <w:rsid w:val="007B3639"/>
    <w:rsid w:val="007B383B"/>
    <w:rsid w:val="007B4A24"/>
    <w:rsid w:val="007C29C1"/>
    <w:rsid w:val="007C350D"/>
    <w:rsid w:val="007C3689"/>
    <w:rsid w:val="007C3C9B"/>
    <w:rsid w:val="007D3012"/>
    <w:rsid w:val="007D65A7"/>
    <w:rsid w:val="007E3F59"/>
    <w:rsid w:val="007E5043"/>
    <w:rsid w:val="007E5183"/>
    <w:rsid w:val="007F32AC"/>
    <w:rsid w:val="007F3B04"/>
    <w:rsid w:val="007F6695"/>
    <w:rsid w:val="008133F9"/>
    <w:rsid w:val="00823AAC"/>
    <w:rsid w:val="00854C66"/>
    <w:rsid w:val="008553E1"/>
    <w:rsid w:val="0086473D"/>
    <w:rsid w:val="0087643B"/>
    <w:rsid w:val="00877669"/>
    <w:rsid w:val="00883E70"/>
    <w:rsid w:val="00897F92"/>
    <w:rsid w:val="008A0686"/>
    <w:rsid w:val="008A0D9D"/>
    <w:rsid w:val="008A64C9"/>
    <w:rsid w:val="008B0ED8"/>
    <w:rsid w:val="008B180A"/>
    <w:rsid w:val="008B24B7"/>
    <w:rsid w:val="008B7A83"/>
    <w:rsid w:val="008C2CD8"/>
    <w:rsid w:val="008C43D3"/>
    <w:rsid w:val="008C5743"/>
    <w:rsid w:val="008C68EE"/>
    <w:rsid w:val="008C7F44"/>
    <w:rsid w:val="008D4273"/>
    <w:rsid w:val="008D4EF3"/>
    <w:rsid w:val="008E0E4F"/>
    <w:rsid w:val="008E1FD5"/>
    <w:rsid w:val="008E4139"/>
    <w:rsid w:val="008E6310"/>
    <w:rsid w:val="008F2676"/>
    <w:rsid w:val="008F322F"/>
    <w:rsid w:val="00907DFE"/>
    <w:rsid w:val="00911D5A"/>
    <w:rsid w:val="0091306F"/>
    <w:rsid w:val="00914596"/>
    <w:rsid w:val="009146BF"/>
    <w:rsid w:val="00915AD4"/>
    <w:rsid w:val="00915EF1"/>
    <w:rsid w:val="00924C08"/>
    <w:rsid w:val="00927D88"/>
    <w:rsid w:val="00930D1F"/>
    <w:rsid w:val="00932CDF"/>
    <w:rsid w:val="00933818"/>
    <w:rsid w:val="00935127"/>
    <w:rsid w:val="009359F9"/>
    <w:rsid w:val="0094025E"/>
    <w:rsid w:val="00940D12"/>
    <w:rsid w:val="0094256C"/>
    <w:rsid w:val="00953F11"/>
    <w:rsid w:val="009673AC"/>
    <w:rsid w:val="00967744"/>
    <w:rsid w:val="0096782C"/>
    <w:rsid w:val="009705D3"/>
    <w:rsid w:val="009706C1"/>
    <w:rsid w:val="00976675"/>
    <w:rsid w:val="00976FBF"/>
    <w:rsid w:val="00984B38"/>
    <w:rsid w:val="00987B2D"/>
    <w:rsid w:val="009920EF"/>
    <w:rsid w:val="009935E5"/>
    <w:rsid w:val="009A0636"/>
    <w:rsid w:val="009A4E07"/>
    <w:rsid w:val="009A6FF5"/>
    <w:rsid w:val="009B04EA"/>
    <w:rsid w:val="009B2B47"/>
    <w:rsid w:val="009B35DB"/>
    <w:rsid w:val="009B4FA8"/>
    <w:rsid w:val="009C4298"/>
    <w:rsid w:val="009C612F"/>
    <w:rsid w:val="009D318C"/>
    <w:rsid w:val="009D7F28"/>
    <w:rsid w:val="00A06507"/>
    <w:rsid w:val="00A10B8B"/>
    <w:rsid w:val="00A20D78"/>
    <w:rsid w:val="00A2174A"/>
    <w:rsid w:val="00A258A3"/>
    <w:rsid w:val="00A2595C"/>
    <w:rsid w:val="00A26733"/>
    <w:rsid w:val="00A32AC8"/>
    <w:rsid w:val="00A3595E"/>
    <w:rsid w:val="00A37088"/>
    <w:rsid w:val="00A450B6"/>
    <w:rsid w:val="00A46C7F"/>
    <w:rsid w:val="00A6659C"/>
    <w:rsid w:val="00A73245"/>
    <w:rsid w:val="00A77145"/>
    <w:rsid w:val="00A82989"/>
    <w:rsid w:val="00A904FE"/>
    <w:rsid w:val="00A9262C"/>
    <w:rsid w:val="00AA47C3"/>
    <w:rsid w:val="00AB3B76"/>
    <w:rsid w:val="00AB61DD"/>
    <w:rsid w:val="00AB6DEB"/>
    <w:rsid w:val="00AC01FA"/>
    <w:rsid w:val="00AC222F"/>
    <w:rsid w:val="00AC2CC7"/>
    <w:rsid w:val="00AC311B"/>
    <w:rsid w:val="00AC789D"/>
    <w:rsid w:val="00AC7B3B"/>
    <w:rsid w:val="00AD3CE6"/>
    <w:rsid w:val="00AE1307"/>
    <w:rsid w:val="00AE7586"/>
    <w:rsid w:val="00AF49B5"/>
    <w:rsid w:val="00AF7A65"/>
    <w:rsid w:val="00B048E7"/>
    <w:rsid w:val="00B06710"/>
    <w:rsid w:val="00B07EBF"/>
    <w:rsid w:val="00B12B9A"/>
    <w:rsid w:val="00B12DF0"/>
    <w:rsid w:val="00B166CB"/>
    <w:rsid w:val="00B235E1"/>
    <w:rsid w:val="00B23809"/>
    <w:rsid w:val="00B272CF"/>
    <w:rsid w:val="00B3145D"/>
    <w:rsid w:val="00B318EF"/>
    <w:rsid w:val="00B33D31"/>
    <w:rsid w:val="00B34EB0"/>
    <w:rsid w:val="00B357BA"/>
    <w:rsid w:val="00B37DCA"/>
    <w:rsid w:val="00B422B0"/>
    <w:rsid w:val="00B50000"/>
    <w:rsid w:val="00B54D8F"/>
    <w:rsid w:val="00B564DB"/>
    <w:rsid w:val="00B642BE"/>
    <w:rsid w:val="00B75B7B"/>
    <w:rsid w:val="00B768B6"/>
    <w:rsid w:val="00B816A3"/>
    <w:rsid w:val="00B908D1"/>
    <w:rsid w:val="00B940D1"/>
    <w:rsid w:val="00B945E6"/>
    <w:rsid w:val="00BA039C"/>
    <w:rsid w:val="00BA1169"/>
    <w:rsid w:val="00BA7082"/>
    <w:rsid w:val="00BB209C"/>
    <w:rsid w:val="00BB41AC"/>
    <w:rsid w:val="00BB58BD"/>
    <w:rsid w:val="00BB6A26"/>
    <w:rsid w:val="00BC1034"/>
    <w:rsid w:val="00BD697B"/>
    <w:rsid w:val="00BE20E5"/>
    <w:rsid w:val="00BE2408"/>
    <w:rsid w:val="00BE3E14"/>
    <w:rsid w:val="00BE3EC6"/>
    <w:rsid w:val="00BE5BEB"/>
    <w:rsid w:val="00BE6528"/>
    <w:rsid w:val="00BF0E3E"/>
    <w:rsid w:val="00BF7C2D"/>
    <w:rsid w:val="00C0087A"/>
    <w:rsid w:val="00C05F9D"/>
    <w:rsid w:val="00C258EC"/>
    <w:rsid w:val="00C27212"/>
    <w:rsid w:val="00C32B18"/>
    <w:rsid w:val="00C34185"/>
    <w:rsid w:val="00C36A8D"/>
    <w:rsid w:val="00C42DD6"/>
    <w:rsid w:val="00C545E7"/>
    <w:rsid w:val="00C64972"/>
    <w:rsid w:val="00C656B1"/>
    <w:rsid w:val="00C66858"/>
    <w:rsid w:val="00C72E69"/>
    <w:rsid w:val="00C7411E"/>
    <w:rsid w:val="00C7703E"/>
    <w:rsid w:val="00C84988"/>
    <w:rsid w:val="00C86587"/>
    <w:rsid w:val="00C91B72"/>
    <w:rsid w:val="00CA4AF6"/>
    <w:rsid w:val="00CA59CA"/>
    <w:rsid w:val="00CB2356"/>
    <w:rsid w:val="00CB4075"/>
    <w:rsid w:val="00CB4E6D"/>
    <w:rsid w:val="00CC0012"/>
    <w:rsid w:val="00CC23DE"/>
    <w:rsid w:val="00CC2AD6"/>
    <w:rsid w:val="00CD3E3A"/>
    <w:rsid w:val="00CD48B6"/>
    <w:rsid w:val="00CD4D96"/>
    <w:rsid w:val="00CD7459"/>
    <w:rsid w:val="00CE55A6"/>
    <w:rsid w:val="00CF13FC"/>
    <w:rsid w:val="00CF4AAF"/>
    <w:rsid w:val="00CF561A"/>
    <w:rsid w:val="00CF6C18"/>
    <w:rsid w:val="00CF7EA8"/>
    <w:rsid w:val="00D004DA"/>
    <w:rsid w:val="00D01673"/>
    <w:rsid w:val="00D0309A"/>
    <w:rsid w:val="00D07BA4"/>
    <w:rsid w:val="00D109BA"/>
    <w:rsid w:val="00D148E6"/>
    <w:rsid w:val="00D176BE"/>
    <w:rsid w:val="00D17C4E"/>
    <w:rsid w:val="00D21359"/>
    <w:rsid w:val="00D215F6"/>
    <w:rsid w:val="00D22BE1"/>
    <w:rsid w:val="00D2765B"/>
    <w:rsid w:val="00D31DF7"/>
    <w:rsid w:val="00D33B91"/>
    <w:rsid w:val="00D415C6"/>
    <w:rsid w:val="00D420EA"/>
    <w:rsid w:val="00D4639E"/>
    <w:rsid w:val="00D51ABF"/>
    <w:rsid w:val="00D5363A"/>
    <w:rsid w:val="00D5444B"/>
    <w:rsid w:val="00D55302"/>
    <w:rsid w:val="00D57CBF"/>
    <w:rsid w:val="00D603C5"/>
    <w:rsid w:val="00D66ABC"/>
    <w:rsid w:val="00D712FF"/>
    <w:rsid w:val="00D71CFC"/>
    <w:rsid w:val="00D86024"/>
    <w:rsid w:val="00D94CA3"/>
    <w:rsid w:val="00D96595"/>
    <w:rsid w:val="00D971C0"/>
    <w:rsid w:val="00DA018C"/>
    <w:rsid w:val="00DA17D1"/>
    <w:rsid w:val="00DA3C9D"/>
    <w:rsid w:val="00DB0F7E"/>
    <w:rsid w:val="00DB1942"/>
    <w:rsid w:val="00DB5484"/>
    <w:rsid w:val="00DB5489"/>
    <w:rsid w:val="00DB64B9"/>
    <w:rsid w:val="00DB6C98"/>
    <w:rsid w:val="00DC41FE"/>
    <w:rsid w:val="00DC4DC7"/>
    <w:rsid w:val="00DC5925"/>
    <w:rsid w:val="00DC701C"/>
    <w:rsid w:val="00DC771F"/>
    <w:rsid w:val="00DD7F91"/>
    <w:rsid w:val="00DE4D0A"/>
    <w:rsid w:val="00E00376"/>
    <w:rsid w:val="00E01016"/>
    <w:rsid w:val="00E043B1"/>
    <w:rsid w:val="00E14EBD"/>
    <w:rsid w:val="00E16734"/>
    <w:rsid w:val="00E23260"/>
    <w:rsid w:val="00E2367A"/>
    <w:rsid w:val="00E27BC7"/>
    <w:rsid w:val="00E35FC9"/>
    <w:rsid w:val="00E377A4"/>
    <w:rsid w:val="00E41346"/>
    <w:rsid w:val="00E420E9"/>
    <w:rsid w:val="00E4635D"/>
    <w:rsid w:val="00E464EF"/>
    <w:rsid w:val="00E61D76"/>
    <w:rsid w:val="00E674DB"/>
    <w:rsid w:val="00E70912"/>
    <w:rsid w:val="00E75F28"/>
    <w:rsid w:val="00E90AA6"/>
    <w:rsid w:val="00E977B8"/>
    <w:rsid w:val="00E97AD1"/>
    <w:rsid w:val="00EA0192"/>
    <w:rsid w:val="00EA109B"/>
    <w:rsid w:val="00EA15A8"/>
    <w:rsid w:val="00EA1ABA"/>
    <w:rsid w:val="00EA2926"/>
    <w:rsid w:val="00EA3A09"/>
    <w:rsid w:val="00EB2CDE"/>
    <w:rsid w:val="00EC1A81"/>
    <w:rsid w:val="00EC7E5C"/>
    <w:rsid w:val="00ED2A3B"/>
    <w:rsid w:val="00ED43F7"/>
    <w:rsid w:val="00ED78F1"/>
    <w:rsid w:val="00EE4DCA"/>
    <w:rsid w:val="00EF0F62"/>
    <w:rsid w:val="00EF4B64"/>
    <w:rsid w:val="00F007E1"/>
    <w:rsid w:val="00F0134E"/>
    <w:rsid w:val="00F02DFB"/>
    <w:rsid w:val="00F032F2"/>
    <w:rsid w:val="00F045C6"/>
    <w:rsid w:val="00F057C6"/>
    <w:rsid w:val="00F17D96"/>
    <w:rsid w:val="00F22565"/>
    <w:rsid w:val="00F22DBB"/>
    <w:rsid w:val="00F26BF7"/>
    <w:rsid w:val="00F3380E"/>
    <w:rsid w:val="00F37C8A"/>
    <w:rsid w:val="00F40837"/>
    <w:rsid w:val="00F42F79"/>
    <w:rsid w:val="00F47773"/>
    <w:rsid w:val="00F5019D"/>
    <w:rsid w:val="00F50583"/>
    <w:rsid w:val="00F5527D"/>
    <w:rsid w:val="00F55FA5"/>
    <w:rsid w:val="00F56308"/>
    <w:rsid w:val="00F634D6"/>
    <w:rsid w:val="00F64385"/>
    <w:rsid w:val="00F6473F"/>
    <w:rsid w:val="00F73B19"/>
    <w:rsid w:val="00F76366"/>
    <w:rsid w:val="00F805C0"/>
    <w:rsid w:val="00FB4261"/>
    <w:rsid w:val="00FB43B1"/>
    <w:rsid w:val="00FB7CDD"/>
    <w:rsid w:val="00FC0608"/>
    <w:rsid w:val="00FC2155"/>
    <w:rsid w:val="00FC41A7"/>
    <w:rsid w:val="00FD4BAC"/>
    <w:rsid w:val="00FD675B"/>
    <w:rsid w:val="00FD7483"/>
    <w:rsid w:val="00FE352F"/>
    <w:rsid w:val="00FE380E"/>
    <w:rsid w:val="00FE4404"/>
    <w:rsid w:val="00FF3985"/>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0E0F93"/>
    <w:pPr>
      <w:spacing w:after="0" w:line="240" w:lineRule="auto"/>
    </w:pPr>
    <w:rPr>
      <w:rFonts w:ascii="Garamond" w:hAnsi="Garamond" w:cs="Calibri"/>
    </w:rPr>
  </w:style>
  <w:style w:type="paragraph" w:styleId="Heading1">
    <w:name w:val="heading 1"/>
    <w:aliases w:val="Pocket"/>
    <w:basedOn w:val="Normal"/>
    <w:next w:val="Normal"/>
    <w:link w:val="Heading1Char"/>
    <w:uiPriority w:val="1"/>
    <w:qFormat/>
    <w:rsid w:val="000E0F9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E0F93"/>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0E0F9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0E0F93"/>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0E0F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F93"/>
  </w:style>
  <w:style w:type="character" w:customStyle="1" w:styleId="Heading1Char">
    <w:name w:val="Heading 1 Char"/>
    <w:aliases w:val="Pocket Char"/>
    <w:basedOn w:val="DefaultParagraphFont"/>
    <w:link w:val="Heading1"/>
    <w:uiPriority w:val="1"/>
    <w:rsid w:val="000E0F93"/>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0E0F93"/>
    <w:rPr>
      <w:rFonts w:ascii="Garamond" w:eastAsiaTheme="majorEastAsia" w:hAnsi="Garamond" w:cstheme="majorBidi"/>
      <w:b/>
      <w:bCs/>
      <w:sz w:val="44"/>
      <w:szCs w:val="26"/>
      <w:u w:val="double"/>
    </w:rPr>
  </w:style>
  <w:style w:type="character" w:styleId="Emphasis">
    <w:name w:val="Emphasis"/>
    <w:aliases w:val="Evidence,Minimized,minimized,Highlighted,tag2,Size 10,emphasis in card,CD Card,ED - Tag,Underlined,emphasis,Bold Underline,Emphasis!!"/>
    <w:basedOn w:val="DefaultParagraphFont"/>
    <w:uiPriority w:val="7"/>
    <w:qFormat/>
    <w:rsid w:val="000E0F93"/>
    <w:rPr>
      <w:rFonts w:ascii="Garamond" w:hAnsi="Garamond" w:cs="Calibri"/>
      <w:b/>
      <w:i w:val="0"/>
      <w:iCs/>
      <w:sz w:val="24"/>
      <w:u w:val="single"/>
      <w:bdr w:val="single" w:sz="18" w:space="0" w:color="auto"/>
    </w:rPr>
  </w:style>
  <w:style w:type="character" w:customStyle="1" w:styleId="StyleBold">
    <w:name w:val="Style Bold"/>
    <w:basedOn w:val="DefaultParagraphFont"/>
    <w:uiPriority w:val="9"/>
    <w:semiHidden/>
    <w:rsid w:val="000E0F93"/>
    <w:rPr>
      <w:b/>
      <w:bCs/>
    </w:rPr>
  </w:style>
  <w:style w:type="character" w:customStyle="1" w:styleId="Heading3Char">
    <w:name w:val="Heading 3 Char"/>
    <w:aliases w:val="Block Char"/>
    <w:basedOn w:val="DefaultParagraphFont"/>
    <w:link w:val="Heading3"/>
    <w:uiPriority w:val="3"/>
    <w:rsid w:val="000E0F93"/>
    <w:rPr>
      <w:rFonts w:ascii="Garamond" w:eastAsiaTheme="majorEastAsia" w:hAnsi="Garamond"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link w:val="Title"/>
    <w:uiPriority w:val="6"/>
    <w:qFormat/>
    <w:rsid w:val="000E0F93"/>
    <w:rPr>
      <w:b w:val="0"/>
      <w:bCs/>
      <w:sz w:val="24"/>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0E0F93"/>
    <w:rPr>
      <w:b/>
      <w:bCs/>
      <w:sz w:val="26"/>
      <w:u w:val="none"/>
    </w:rPr>
  </w:style>
  <w:style w:type="paragraph" w:styleId="Header">
    <w:name w:val="header"/>
    <w:basedOn w:val="Normal"/>
    <w:link w:val="HeaderChar"/>
    <w:uiPriority w:val="99"/>
    <w:semiHidden/>
    <w:rsid w:val="000E0F93"/>
    <w:pPr>
      <w:tabs>
        <w:tab w:val="center" w:pos="4680"/>
        <w:tab w:val="right" w:pos="9360"/>
      </w:tabs>
    </w:pPr>
  </w:style>
  <w:style w:type="character" w:customStyle="1" w:styleId="HeaderChar">
    <w:name w:val="Header Char"/>
    <w:basedOn w:val="DefaultParagraphFont"/>
    <w:link w:val="Header"/>
    <w:uiPriority w:val="99"/>
    <w:semiHidden/>
    <w:rsid w:val="000E0F93"/>
    <w:rPr>
      <w:rFonts w:ascii="Garamond" w:hAnsi="Garamond" w:cs="Calibri"/>
    </w:rPr>
  </w:style>
  <w:style w:type="paragraph" w:styleId="Footer">
    <w:name w:val="footer"/>
    <w:basedOn w:val="Normal"/>
    <w:link w:val="FooterChar"/>
    <w:uiPriority w:val="99"/>
    <w:semiHidden/>
    <w:rsid w:val="000E0F93"/>
    <w:pPr>
      <w:tabs>
        <w:tab w:val="center" w:pos="4680"/>
        <w:tab w:val="right" w:pos="9360"/>
      </w:tabs>
    </w:pPr>
  </w:style>
  <w:style w:type="character" w:customStyle="1" w:styleId="FooterChar">
    <w:name w:val="Footer Char"/>
    <w:basedOn w:val="DefaultParagraphFont"/>
    <w:link w:val="Footer"/>
    <w:uiPriority w:val="99"/>
    <w:semiHidden/>
    <w:rsid w:val="000E0F93"/>
    <w:rPr>
      <w:rFonts w:ascii="Garamond" w:hAnsi="Garamond" w:cs="Calibri"/>
    </w:rPr>
  </w:style>
  <w:style w:type="character" w:styleId="Hyperlink">
    <w:name w:val="Hyperlink"/>
    <w:aliases w:val="heading 1 (block title)"/>
    <w:basedOn w:val="DefaultParagraphFont"/>
    <w:uiPriority w:val="99"/>
    <w:rsid w:val="000E0F93"/>
    <w:rPr>
      <w:color w:val="auto"/>
      <w:u w:val="none"/>
    </w:rPr>
  </w:style>
  <w:style w:type="character" w:styleId="FollowedHyperlink">
    <w:name w:val="FollowedHyperlink"/>
    <w:basedOn w:val="DefaultParagraphFont"/>
    <w:uiPriority w:val="99"/>
    <w:semiHidden/>
    <w:rsid w:val="000E0F93"/>
    <w:rPr>
      <w:color w:val="auto"/>
      <w:u w:val="none"/>
    </w:rPr>
  </w:style>
  <w:style w:type="character" w:customStyle="1" w:styleId="Heading4Char">
    <w:name w:val="Heading 4 Char"/>
    <w:aliases w:val="Tag Char"/>
    <w:basedOn w:val="DefaultParagraphFont"/>
    <w:link w:val="Heading4"/>
    <w:uiPriority w:val="4"/>
    <w:rsid w:val="000E0F93"/>
    <w:rPr>
      <w:rFonts w:ascii="Garamond" w:eastAsiaTheme="majorEastAsia" w:hAnsi="Garamond" w:cstheme="majorBidi"/>
      <w:b/>
      <w:bCs/>
      <w:iCs/>
      <w:sz w:val="26"/>
    </w:rPr>
  </w:style>
  <w:style w:type="paragraph" w:styleId="Title">
    <w:name w:val="Title"/>
    <w:basedOn w:val="Normal"/>
    <w:next w:val="Normal"/>
    <w:link w:val="StyleBoldUnderline"/>
    <w:uiPriority w:val="6"/>
    <w:qFormat/>
    <w:rsid w:val="007F32AC"/>
    <w:pPr>
      <w:pBdr>
        <w:bottom w:val="single" w:sz="8" w:space="4" w:color="4F81BD"/>
      </w:pBdr>
      <w:spacing w:after="300"/>
      <w:contextualSpacing/>
    </w:pPr>
    <w:rPr>
      <w:rFonts w:asciiTheme="minorHAnsi" w:hAnsiTheme="minorHAnsi" w:cstheme="minorBidi"/>
      <w:bCs/>
      <w:sz w:val="24"/>
      <w:u w:val="single"/>
    </w:rPr>
  </w:style>
  <w:style w:type="character" w:customStyle="1" w:styleId="TitleChar1">
    <w:name w:val="Title Char1"/>
    <w:basedOn w:val="DefaultParagraphFont"/>
    <w:uiPriority w:val="10"/>
    <w:semiHidden/>
    <w:rsid w:val="007F32A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0E0F93"/>
    <w:pPr>
      <w:spacing w:after="0" w:line="240" w:lineRule="auto"/>
    </w:pPr>
    <w:rPr>
      <w:rFonts w:ascii="Garamond" w:hAnsi="Garamond" w:cs="Calibri"/>
    </w:rPr>
  </w:style>
  <w:style w:type="paragraph" w:styleId="Heading1">
    <w:name w:val="heading 1"/>
    <w:aliases w:val="Pocket"/>
    <w:basedOn w:val="Normal"/>
    <w:next w:val="Normal"/>
    <w:link w:val="Heading1Char"/>
    <w:uiPriority w:val="1"/>
    <w:qFormat/>
    <w:rsid w:val="000E0F9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E0F93"/>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0E0F9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0E0F93"/>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0E0F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F93"/>
  </w:style>
  <w:style w:type="character" w:customStyle="1" w:styleId="Heading1Char">
    <w:name w:val="Heading 1 Char"/>
    <w:aliases w:val="Pocket Char"/>
    <w:basedOn w:val="DefaultParagraphFont"/>
    <w:link w:val="Heading1"/>
    <w:uiPriority w:val="1"/>
    <w:rsid w:val="000E0F93"/>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0E0F93"/>
    <w:rPr>
      <w:rFonts w:ascii="Garamond" w:eastAsiaTheme="majorEastAsia" w:hAnsi="Garamond" w:cstheme="majorBidi"/>
      <w:b/>
      <w:bCs/>
      <w:sz w:val="44"/>
      <w:szCs w:val="26"/>
      <w:u w:val="double"/>
    </w:rPr>
  </w:style>
  <w:style w:type="character" w:styleId="Emphasis">
    <w:name w:val="Emphasis"/>
    <w:aliases w:val="Evidence,Minimized,minimized,Highlighted,tag2,Size 10,emphasis in card,CD Card,ED - Tag,Underlined,emphasis,Bold Underline,Emphasis!!"/>
    <w:basedOn w:val="DefaultParagraphFont"/>
    <w:uiPriority w:val="7"/>
    <w:qFormat/>
    <w:rsid w:val="000E0F93"/>
    <w:rPr>
      <w:rFonts w:ascii="Garamond" w:hAnsi="Garamond" w:cs="Calibri"/>
      <w:b/>
      <w:i w:val="0"/>
      <w:iCs/>
      <w:sz w:val="24"/>
      <w:u w:val="single"/>
      <w:bdr w:val="single" w:sz="18" w:space="0" w:color="auto"/>
    </w:rPr>
  </w:style>
  <w:style w:type="character" w:customStyle="1" w:styleId="StyleBold">
    <w:name w:val="Style Bold"/>
    <w:basedOn w:val="DefaultParagraphFont"/>
    <w:uiPriority w:val="9"/>
    <w:semiHidden/>
    <w:rsid w:val="000E0F93"/>
    <w:rPr>
      <w:b/>
      <w:bCs/>
    </w:rPr>
  </w:style>
  <w:style w:type="character" w:customStyle="1" w:styleId="Heading3Char">
    <w:name w:val="Heading 3 Char"/>
    <w:aliases w:val="Block Char"/>
    <w:basedOn w:val="DefaultParagraphFont"/>
    <w:link w:val="Heading3"/>
    <w:uiPriority w:val="3"/>
    <w:rsid w:val="000E0F93"/>
    <w:rPr>
      <w:rFonts w:ascii="Garamond" w:eastAsiaTheme="majorEastAsia" w:hAnsi="Garamond"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link w:val="Title"/>
    <w:uiPriority w:val="6"/>
    <w:qFormat/>
    <w:rsid w:val="000E0F93"/>
    <w:rPr>
      <w:b w:val="0"/>
      <w:bCs/>
      <w:sz w:val="24"/>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0E0F93"/>
    <w:rPr>
      <w:b/>
      <w:bCs/>
      <w:sz w:val="26"/>
      <w:u w:val="none"/>
    </w:rPr>
  </w:style>
  <w:style w:type="paragraph" w:styleId="Header">
    <w:name w:val="header"/>
    <w:basedOn w:val="Normal"/>
    <w:link w:val="HeaderChar"/>
    <w:uiPriority w:val="99"/>
    <w:semiHidden/>
    <w:rsid w:val="000E0F93"/>
    <w:pPr>
      <w:tabs>
        <w:tab w:val="center" w:pos="4680"/>
        <w:tab w:val="right" w:pos="9360"/>
      </w:tabs>
    </w:pPr>
  </w:style>
  <w:style w:type="character" w:customStyle="1" w:styleId="HeaderChar">
    <w:name w:val="Header Char"/>
    <w:basedOn w:val="DefaultParagraphFont"/>
    <w:link w:val="Header"/>
    <w:uiPriority w:val="99"/>
    <w:semiHidden/>
    <w:rsid w:val="000E0F93"/>
    <w:rPr>
      <w:rFonts w:ascii="Garamond" w:hAnsi="Garamond" w:cs="Calibri"/>
    </w:rPr>
  </w:style>
  <w:style w:type="paragraph" w:styleId="Footer">
    <w:name w:val="footer"/>
    <w:basedOn w:val="Normal"/>
    <w:link w:val="FooterChar"/>
    <w:uiPriority w:val="99"/>
    <w:semiHidden/>
    <w:rsid w:val="000E0F93"/>
    <w:pPr>
      <w:tabs>
        <w:tab w:val="center" w:pos="4680"/>
        <w:tab w:val="right" w:pos="9360"/>
      </w:tabs>
    </w:pPr>
  </w:style>
  <w:style w:type="character" w:customStyle="1" w:styleId="FooterChar">
    <w:name w:val="Footer Char"/>
    <w:basedOn w:val="DefaultParagraphFont"/>
    <w:link w:val="Footer"/>
    <w:uiPriority w:val="99"/>
    <w:semiHidden/>
    <w:rsid w:val="000E0F93"/>
    <w:rPr>
      <w:rFonts w:ascii="Garamond" w:hAnsi="Garamond" w:cs="Calibri"/>
    </w:rPr>
  </w:style>
  <w:style w:type="character" w:styleId="Hyperlink">
    <w:name w:val="Hyperlink"/>
    <w:aliases w:val="heading 1 (block title)"/>
    <w:basedOn w:val="DefaultParagraphFont"/>
    <w:uiPriority w:val="99"/>
    <w:rsid w:val="000E0F93"/>
    <w:rPr>
      <w:color w:val="auto"/>
      <w:u w:val="none"/>
    </w:rPr>
  </w:style>
  <w:style w:type="character" w:styleId="FollowedHyperlink">
    <w:name w:val="FollowedHyperlink"/>
    <w:basedOn w:val="DefaultParagraphFont"/>
    <w:uiPriority w:val="99"/>
    <w:semiHidden/>
    <w:rsid w:val="000E0F93"/>
    <w:rPr>
      <w:color w:val="auto"/>
      <w:u w:val="none"/>
    </w:rPr>
  </w:style>
  <w:style w:type="character" w:customStyle="1" w:styleId="Heading4Char">
    <w:name w:val="Heading 4 Char"/>
    <w:aliases w:val="Tag Char"/>
    <w:basedOn w:val="DefaultParagraphFont"/>
    <w:link w:val="Heading4"/>
    <w:uiPriority w:val="4"/>
    <w:rsid w:val="000E0F93"/>
    <w:rPr>
      <w:rFonts w:ascii="Garamond" w:eastAsiaTheme="majorEastAsia" w:hAnsi="Garamond" w:cstheme="majorBidi"/>
      <w:b/>
      <w:bCs/>
      <w:iCs/>
      <w:sz w:val="26"/>
    </w:rPr>
  </w:style>
  <w:style w:type="paragraph" w:styleId="Title">
    <w:name w:val="Title"/>
    <w:basedOn w:val="Normal"/>
    <w:next w:val="Normal"/>
    <w:link w:val="StyleBoldUnderline"/>
    <w:uiPriority w:val="6"/>
    <w:qFormat/>
    <w:rsid w:val="007F32AC"/>
    <w:pPr>
      <w:pBdr>
        <w:bottom w:val="single" w:sz="8" w:space="4" w:color="4F81BD"/>
      </w:pBdr>
      <w:spacing w:after="300"/>
      <w:contextualSpacing/>
    </w:pPr>
    <w:rPr>
      <w:rFonts w:asciiTheme="minorHAnsi" w:hAnsiTheme="minorHAnsi" w:cstheme="minorBidi"/>
      <w:bCs/>
      <w:sz w:val="24"/>
      <w:u w:val="single"/>
    </w:rPr>
  </w:style>
  <w:style w:type="character" w:customStyle="1" w:styleId="TitleChar1">
    <w:name w:val="Title Char1"/>
    <w:basedOn w:val="DefaultParagraphFont"/>
    <w:uiPriority w:val="10"/>
    <w:semiHidden/>
    <w:rsid w:val="007F32A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yperlink" Target="http://www.lexis.com/research/buttonTFLink?_m=8541fbf7a7f5554ca588059b132acd17&amp;_xfercite=%3ccite%20cc%3d%22USA%22%3e%3c%21%5bCDATA%5b367%20U.S.%20App.%20D.C.%203%5d%5d%3e%3c%2fcite%3e&amp;_butType=4&amp;_butStat=0&amp;_butNum=103&amp;_butInline=1&amp;_butinfo=42%20U.S.C.%207411&amp;_fmtstr=FULL&amp;docnum=14&amp;_startdoc=1&amp;wchp=dGLbVlz-zSkAW&amp;_md5=1f89a0e47b1996a5400e8d865d8da08a"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yperlink" Target="http://www.lexis.com/research/retrieve?_m=1fe428155fdfc9074f3623f0dae9d78a&amp;docnum=14&amp;_fmtstr=FULL&amp;_startdoc=1&amp;wchp=dGLbVlz-zSkAW&amp;_md5=0ebd338d6a7793de8561db53b915effd&amp;focBudTerms=term%20increase&amp;focBudSel=all"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2</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cp:revision>
  <dcterms:created xsi:type="dcterms:W3CDTF">2013-07-02T19:25:00Z</dcterms:created>
  <dcterms:modified xsi:type="dcterms:W3CDTF">2013-07-02T19:48:00Z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